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A9" w:rsidRDefault="00E555A9" w:rsidP="009A1C20">
      <w:pPr>
        <w:jc w:val="center"/>
        <w:rPr>
          <w:rFonts w:cstheme="minorHAnsi"/>
          <w:b/>
          <w:bCs/>
          <w:sz w:val="24"/>
          <w:szCs w:val="24"/>
        </w:rPr>
      </w:pPr>
    </w:p>
    <w:p w:rsidR="00DF10A0" w:rsidRPr="009A1C20" w:rsidRDefault="00844E44" w:rsidP="009A1C2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GUIA </w:t>
      </w:r>
      <w:r w:rsidR="009A1C20" w:rsidRPr="009A1C20">
        <w:rPr>
          <w:rFonts w:cstheme="minorHAnsi"/>
          <w:b/>
          <w:bCs/>
          <w:sz w:val="24"/>
          <w:szCs w:val="24"/>
        </w:rPr>
        <w:t xml:space="preserve">PARA </w:t>
      </w:r>
      <w:r>
        <w:rPr>
          <w:rFonts w:cstheme="minorHAnsi"/>
          <w:b/>
          <w:bCs/>
          <w:sz w:val="24"/>
          <w:szCs w:val="24"/>
        </w:rPr>
        <w:t xml:space="preserve">LA </w:t>
      </w:r>
      <w:r w:rsidR="009A1C20" w:rsidRPr="009A1C20">
        <w:rPr>
          <w:rFonts w:cstheme="minorHAnsi"/>
          <w:b/>
          <w:bCs/>
          <w:sz w:val="24"/>
          <w:szCs w:val="24"/>
        </w:rPr>
        <w:t>CREACIÓN DEL CÓDIGO DE VALIDACIÓN PARA</w:t>
      </w:r>
      <w:r w:rsidR="00AD0AB0">
        <w:rPr>
          <w:rFonts w:cstheme="minorHAnsi"/>
          <w:b/>
          <w:bCs/>
          <w:sz w:val="24"/>
          <w:szCs w:val="24"/>
        </w:rPr>
        <w:t xml:space="preserve"> EXÁ</w:t>
      </w:r>
      <w:r>
        <w:rPr>
          <w:rFonts w:cstheme="minorHAnsi"/>
          <w:b/>
          <w:bCs/>
          <w:sz w:val="24"/>
          <w:szCs w:val="24"/>
        </w:rPr>
        <w:t>MENES DE LABORATORIO DE</w:t>
      </w:r>
      <w:r w:rsidR="009A1C20" w:rsidRPr="009A1C20">
        <w:rPr>
          <w:rFonts w:cstheme="minorHAnsi"/>
          <w:b/>
          <w:bCs/>
          <w:sz w:val="24"/>
          <w:szCs w:val="24"/>
        </w:rPr>
        <w:t xml:space="preserve"> UNA PROCURACIÓN FALLIDA</w:t>
      </w:r>
    </w:p>
    <w:p w:rsidR="00AE4041" w:rsidRPr="009A1C20" w:rsidRDefault="00AE4041">
      <w:pPr>
        <w:rPr>
          <w:rFonts w:cstheme="minorHAnsi"/>
          <w:b/>
          <w:sz w:val="24"/>
          <w:szCs w:val="24"/>
        </w:rPr>
      </w:pPr>
      <w:r w:rsidRPr="009A1C20">
        <w:rPr>
          <w:rFonts w:cstheme="minorHAnsi"/>
          <w:b/>
          <w:sz w:val="24"/>
          <w:szCs w:val="24"/>
        </w:rPr>
        <w:t xml:space="preserve">1.- Introducción </w:t>
      </w:r>
      <w:bookmarkStart w:id="0" w:name="_GoBack"/>
      <w:bookmarkEnd w:id="0"/>
    </w:p>
    <w:p w:rsidR="00AE4041" w:rsidRPr="009A1C20" w:rsidRDefault="00AE4041" w:rsidP="00AE4041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 xml:space="preserve">El proceso de donación y trasplante se inicia con la </w:t>
      </w:r>
      <w:r w:rsidR="00D23508" w:rsidRPr="009A1C20">
        <w:rPr>
          <w:rFonts w:eastAsia="Times New Roman" w:cstheme="minorHAnsi"/>
          <w:sz w:val="24"/>
          <w:szCs w:val="24"/>
          <w:lang w:eastAsia="es-EC"/>
        </w:rPr>
        <w:t xml:space="preserve">identificación, </w:t>
      </w:r>
      <w:r w:rsidRPr="009A1C20">
        <w:rPr>
          <w:rFonts w:eastAsia="Times New Roman" w:cstheme="minorHAnsi"/>
          <w:sz w:val="24"/>
          <w:szCs w:val="24"/>
          <w:lang w:eastAsia="es-EC"/>
        </w:rPr>
        <w:t xml:space="preserve">evaluación, </w:t>
      </w:r>
      <w:r w:rsidR="00D23508" w:rsidRPr="009A1C20">
        <w:rPr>
          <w:rFonts w:eastAsia="Times New Roman" w:cstheme="minorHAnsi"/>
          <w:sz w:val="24"/>
          <w:szCs w:val="24"/>
          <w:lang w:eastAsia="es-EC"/>
        </w:rPr>
        <w:t xml:space="preserve">realización de pruebas serológicas complementarias tales como </w:t>
      </w:r>
      <w:r w:rsidRPr="009A1C20">
        <w:rPr>
          <w:rFonts w:eastAsia="Times New Roman" w:cstheme="minorHAnsi"/>
          <w:sz w:val="24"/>
          <w:szCs w:val="24"/>
          <w:lang w:eastAsia="es-EC"/>
        </w:rPr>
        <w:t>tipificaci</w:t>
      </w:r>
      <w:r w:rsidR="00D23508" w:rsidRPr="009A1C20">
        <w:rPr>
          <w:rFonts w:eastAsia="Times New Roman" w:cstheme="minorHAnsi"/>
          <w:sz w:val="24"/>
          <w:szCs w:val="24"/>
          <w:lang w:eastAsia="es-EC"/>
        </w:rPr>
        <w:t xml:space="preserve">ón del HLA, </w:t>
      </w:r>
      <w:r w:rsidRPr="009A1C20">
        <w:rPr>
          <w:rFonts w:eastAsia="Times New Roman" w:cstheme="minorHAnsi"/>
          <w:sz w:val="24"/>
          <w:szCs w:val="24"/>
          <w:lang w:eastAsia="es-EC"/>
        </w:rPr>
        <w:t>Crossmatch que establece</w:t>
      </w:r>
      <w:r w:rsidR="00D23508" w:rsidRPr="009A1C20">
        <w:rPr>
          <w:rFonts w:eastAsia="Times New Roman" w:cstheme="minorHAnsi"/>
          <w:sz w:val="24"/>
          <w:szCs w:val="24"/>
          <w:lang w:eastAsia="es-EC"/>
        </w:rPr>
        <w:t>n</w:t>
      </w:r>
      <w:r w:rsidRPr="009A1C20">
        <w:rPr>
          <w:rFonts w:eastAsia="Times New Roman" w:cstheme="minorHAnsi"/>
          <w:sz w:val="24"/>
          <w:szCs w:val="24"/>
          <w:lang w:eastAsia="es-EC"/>
        </w:rPr>
        <w:t xml:space="preserve"> el riesgo de rechazo agudo entre el donante y l</w:t>
      </w:r>
      <w:r w:rsidR="00D23508" w:rsidRPr="009A1C20">
        <w:rPr>
          <w:rFonts w:eastAsia="Times New Roman" w:cstheme="minorHAnsi"/>
          <w:sz w:val="24"/>
          <w:szCs w:val="24"/>
          <w:lang w:eastAsia="es-EC"/>
        </w:rPr>
        <w:t xml:space="preserve">os posibles receptores. </w:t>
      </w:r>
      <w:r w:rsidRPr="009A1C20">
        <w:rPr>
          <w:rFonts w:eastAsia="Times New Roman" w:cstheme="minorHAnsi"/>
          <w:sz w:val="24"/>
          <w:szCs w:val="24"/>
          <w:lang w:eastAsia="es-EC"/>
        </w:rPr>
        <w:t>Dichas pruebas se realizan únicamente en los laboratorios acreditados o re acreditados por el INDOT.</w:t>
      </w:r>
    </w:p>
    <w:p w:rsidR="00AE4041" w:rsidRPr="009A1C20" w:rsidRDefault="00AE4041" w:rsidP="00AE4041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>Durante el proceso, por razones de contraindicación médica, parada cardíaca del donante, cond</w:t>
      </w:r>
      <w:r w:rsidR="00D23508" w:rsidRPr="009A1C20">
        <w:rPr>
          <w:rFonts w:eastAsia="Times New Roman" w:cstheme="minorHAnsi"/>
          <w:sz w:val="24"/>
          <w:szCs w:val="24"/>
          <w:lang w:eastAsia="es-EC"/>
        </w:rPr>
        <w:t>iciones del receptor, entre otra</w:t>
      </w:r>
      <w:r w:rsidRPr="009A1C20">
        <w:rPr>
          <w:rFonts w:eastAsia="Times New Roman" w:cstheme="minorHAnsi"/>
          <w:sz w:val="24"/>
          <w:szCs w:val="24"/>
          <w:lang w:eastAsia="es-EC"/>
        </w:rPr>
        <w:t xml:space="preserve">s, puede suspenderse el operativo en cualquier fase del mismo, resultando una procuración fallida. </w:t>
      </w:r>
    </w:p>
    <w:p w:rsidR="00AE4041" w:rsidRPr="009A1C20" w:rsidRDefault="00AE4041" w:rsidP="00AE4041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>En este contexto; y, cumpliendo con los preceptos contenidos en: la Ley Orgánica de Donación y Trasplantes de Órganos, Tejidos y Células, su Reglamento General; la Norma Técnica Sustitutiva de Relacionamiento para la Prestación de Servicios de Salud entre Instituciones de la Red Pública Integral de Salud y de la Red Privada Complementaria; Tarifario Nacional y</w:t>
      </w:r>
      <w:r w:rsidR="009A1C20" w:rsidRPr="009A1C20">
        <w:rPr>
          <w:rFonts w:eastAsia="Times New Roman" w:cstheme="minorHAnsi"/>
          <w:sz w:val="24"/>
          <w:szCs w:val="24"/>
          <w:lang w:eastAsia="es-EC"/>
        </w:rPr>
        <w:t xml:space="preserve"> demás normativa de la materia,</w:t>
      </w:r>
      <w:r w:rsidRPr="009A1C20"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="000509F2">
        <w:rPr>
          <w:rFonts w:eastAsia="Times New Roman" w:cstheme="minorHAnsi"/>
          <w:sz w:val="24"/>
          <w:szCs w:val="24"/>
          <w:lang w:eastAsia="es-EC"/>
        </w:rPr>
        <w:t xml:space="preserve">la presente guía </w:t>
      </w:r>
      <w:r w:rsidR="00C82124" w:rsidRPr="009A1C20">
        <w:rPr>
          <w:rFonts w:eastAsia="Times New Roman" w:cstheme="minorHAnsi"/>
          <w:sz w:val="24"/>
          <w:szCs w:val="24"/>
          <w:lang w:eastAsia="es-EC"/>
        </w:rPr>
        <w:t xml:space="preserve"> establece</w:t>
      </w:r>
      <w:r w:rsidR="000509F2">
        <w:rPr>
          <w:rFonts w:eastAsia="Times New Roman" w:cstheme="minorHAnsi"/>
          <w:sz w:val="24"/>
          <w:szCs w:val="24"/>
          <w:lang w:eastAsia="es-EC"/>
        </w:rPr>
        <w:t xml:space="preserve"> los </w:t>
      </w:r>
      <w:r w:rsidR="00C82124" w:rsidRPr="009A1C20">
        <w:rPr>
          <w:rFonts w:eastAsia="Times New Roman" w:cstheme="minorHAnsi"/>
          <w:sz w:val="24"/>
          <w:szCs w:val="24"/>
          <w:lang w:eastAsia="es-EC"/>
        </w:rPr>
        <w:t>lineamiento</w:t>
      </w:r>
      <w:r w:rsidR="000509F2">
        <w:rPr>
          <w:rFonts w:eastAsia="Times New Roman" w:cstheme="minorHAnsi"/>
          <w:sz w:val="24"/>
          <w:szCs w:val="24"/>
          <w:lang w:eastAsia="es-EC"/>
        </w:rPr>
        <w:t xml:space="preserve">s para </w:t>
      </w:r>
      <w:r w:rsidR="00C82124" w:rsidRPr="009A1C20">
        <w:rPr>
          <w:rFonts w:eastAsia="Times New Roman" w:cstheme="minorHAnsi"/>
          <w:sz w:val="24"/>
          <w:szCs w:val="24"/>
          <w:lang w:eastAsia="es-EC"/>
        </w:rPr>
        <w:t>la creación del código de validación</w:t>
      </w:r>
      <w:r w:rsidR="000509F2">
        <w:rPr>
          <w:rFonts w:eastAsia="Times New Roman" w:cstheme="minorHAnsi"/>
          <w:sz w:val="24"/>
          <w:szCs w:val="24"/>
          <w:lang w:eastAsia="es-EC"/>
        </w:rPr>
        <w:t xml:space="preserve"> para exámenes de laboratorio </w:t>
      </w:r>
      <w:r w:rsidR="00C82124" w:rsidRPr="009A1C20"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="000509F2">
        <w:rPr>
          <w:rFonts w:eastAsia="Times New Roman" w:cstheme="minorHAnsi"/>
          <w:sz w:val="24"/>
          <w:szCs w:val="24"/>
          <w:lang w:eastAsia="es-EC"/>
        </w:rPr>
        <w:t xml:space="preserve">de </w:t>
      </w:r>
      <w:r w:rsidR="00C82124" w:rsidRPr="009A1C20">
        <w:rPr>
          <w:rFonts w:eastAsia="Times New Roman" w:cstheme="minorHAnsi"/>
          <w:sz w:val="24"/>
          <w:szCs w:val="24"/>
          <w:lang w:eastAsia="es-EC"/>
        </w:rPr>
        <w:t xml:space="preserve"> una procuración fallida y la utilización del mismo para el</w:t>
      </w:r>
      <w:r w:rsidR="000509F2">
        <w:rPr>
          <w:rFonts w:eastAsia="Times New Roman" w:cstheme="minorHAnsi"/>
          <w:sz w:val="24"/>
          <w:szCs w:val="24"/>
          <w:lang w:eastAsia="es-EC"/>
        </w:rPr>
        <w:t xml:space="preserve"> proceso de</w:t>
      </w:r>
      <w:r w:rsidR="00C82124" w:rsidRPr="009A1C20"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9A1C20">
        <w:rPr>
          <w:rFonts w:eastAsia="Times New Roman" w:cstheme="minorHAnsi"/>
          <w:sz w:val="24"/>
          <w:szCs w:val="24"/>
          <w:lang w:eastAsia="es-EC"/>
        </w:rPr>
        <w:t>pago, que el INDOT tiene la responsabilidad de financiar.</w:t>
      </w:r>
    </w:p>
    <w:p w:rsidR="00DF10A0" w:rsidRPr="009A1C20" w:rsidRDefault="00DF10A0" w:rsidP="00AE4041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z w:val="24"/>
          <w:szCs w:val="24"/>
          <w:lang w:eastAsia="es-EC"/>
        </w:rPr>
      </w:pPr>
      <w:r w:rsidRPr="009A1C20">
        <w:rPr>
          <w:rFonts w:eastAsia="Times New Roman" w:cstheme="minorHAnsi"/>
          <w:b/>
          <w:sz w:val="24"/>
          <w:szCs w:val="24"/>
          <w:lang w:eastAsia="es-EC"/>
        </w:rPr>
        <w:t xml:space="preserve">2.- Antecedentes </w:t>
      </w:r>
    </w:p>
    <w:p w:rsidR="00DF10A0" w:rsidRPr="009A1C20" w:rsidRDefault="00DF10A0" w:rsidP="00AE4041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>La actividad trasplantológica en el Ecuador ha evolucionado durante los últimos años, gracias a las políticas públicas que garantizan la salud de los ecuatorianos, a los establecimientos de salud que participan en el proceso de donación y trasplante, a las instituciones de apoyo logístico y operativo y fundamentalmente a la solidaridad de todos los ecuatorianos.</w:t>
      </w:r>
    </w:p>
    <w:p w:rsidR="00DF10A0" w:rsidRPr="009A1C20" w:rsidRDefault="00DF10A0" w:rsidP="009A1C2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 xml:space="preserve">La Norma Técnica Sustitutiva de Relacionamiento para la Prestación de Servicios de Salud entre Instituciones de la Red Pública Integral de Salud y de la Red Privada Complementaria </w:t>
      </w:r>
      <w:r w:rsidRPr="009A1C20">
        <w:rPr>
          <w:rFonts w:eastAsia="Times New Roman" w:cstheme="minorHAnsi"/>
          <w:sz w:val="24"/>
          <w:szCs w:val="24"/>
          <w:lang w:eastAsia="es-EC"/>
        </w:rPr>
        <w:lastRenderedPageBreak/>
        <w:t xml:space="preserve">aprobada mediante Acuerdo N° 0091 – 2017, </w:t>
      </w:r>
      <w:r w:rsidR="009A1C20">
        <w:rPr>
          <w:rFonts w:eastAsia="Times New Roman" w:cstheme="minorHAnsi"/>
          <w:sz w:val="24"/>
          <w:szCs w:val="24"/>
          <w:lang w:eastAsia="es-EC"/>
        </w:rPr>
        <w:t xml:space="preserve"> en el </w:t>
      </w:r>
      <w:r w:rsidRPr="009A1C20">
        <w:rPr>
          <w:rFonts w:cstheme="minorHAnsi"/>
          <w:sz w:val="24"/>
          <w:szCs w:val="24"/>
        </w:rPr>
        <w:t>parágrafo 5to, de la Derivación de Pacientes para Trasplantes, artículo 28 establece “</w:t>
      </w:r>
      <w:r w:rsidRPr="00246144">
        <w:rPr>
          <w:rFonts w:cstheme="minorHAnsi"/>
          <w:i/>
          <w:iCs/>
          <w:sz w:val="24"/>
          <w:szCs w:val="24"/>
        </w:rPr>
        <w:t>La derivación en este caso estará sujeta a la capacidad resolutiva del establecimiento de salud y a la acreditación otorgada al establecimiento de salud, por el Instituto Nacional de Donación y Trasplante de Órganos, Tejidos y Células – INDOT</w:t>
      </w:r>
      <w:r w:rsidRPr="009A1C20">
        <w:rPr>
          <w:rFonts w:cstheme="minorHAnsi"/>
          <w:iCs/>
          <w:sz w:val="24"/>
          <w:szCs w:val="24"/>
        </w:rPr>
        <w:t>.</w:t>
      </w:r>
      <w:r w:rsidRPr="009A1C20">
        <w:rPr>
          <w:rFonts w:cstheme="minorHAnsi"/>
          <w:sz w:val="24"/>
          <w:szCs w:val="24"/>
        </w:rPr>
        <w:t>”</w:t>
      </w:r>
    </w:p>
    <w:p w:rsidR="00DF10A0" w:rsidRPr="009A1C20" w:rsidRDefault="00DF10A0" w:rsidP="00DF10A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 xml:space="preserve">El numeral 6 del artículo 29 de la Norma Técnica Sustitutiva de Relacionamiento para la Prestación de Servicios de Salud entre instituciones de la Red Pública Integral de Salud y de la Red Privada Complementaria, y su reconocimiento económico, determina </w:t>
      </w:r>
      <w:r w:rsidRPr="009A1C20">
        <w:rPr>
          <w:rFonts w:eastAsia="Times New Roman" w:cstheme="minorHAnsi"/>
          <w:iCs/>
          <w:sz w:val="24"/>
          <w:szCs w:val="24"/>
          <w:lang w:eastAsia="es-EC"/>
        </w:rPr>
        <w:t>“</w:t>
      </w:r>
      <w:r w:rsidRPr="00246144">
        <w:rPr>
          <w:rFonts w:eastAsia="Times New Roman" w:cstheme="minorHAnsi"/>
          <w:i/>
          <w:iCs/>
          <w:sz w:val="24"/>
          <w:szCs w:val="24"/>
          <w:lang w:eastAsia="es-EC"/>
        </w:rPr>
        <w:t>El INDOT es el responsable del pago del gasto generado</w:t>
      </w:r>
      <w:r w:rsidR="009A1C20" w:rsidRPr="00246144">
        <w:rPr>
          <w:rFonts w:eastAsia="Times New Roman" w:cstheme="minorHAnsi"/>
          <w:i/>
          <w:iCs/>
          <w:sz w:val="24"/>
          <w:szCs w:val="24"/>
          <w:lang w:eastAsia="es-EC"/>
        </w:rPr>
        <w:t xml:space="preserve"> por las procuraciones fallidas</w:t>
      </w:r>
      <w:r w:rsidRPr="00246144">
        <w:rPr>
          <w:rFonts w:eastAsia="Times New Roman" w:cstheme="minorHAnsi"/>
          <w:i/>
          <w:iCs/>
          <w:sz w:val="24"/>
          <w:szCs w:val="24"/>
          <w:lang w:eastAsia="es-EC"/>
        </w:rPr>
        <w:t>…., independientemente del subsistema al que pertenezca el paciente”</w:t>
      </w:r>
      <w:r w:rsidRPr="009A1C20">
        <w:rPr>
          <w:rFonts w:eastAsia="Times New Roman" w:cstheme="minorHAnsi"/>
          <w:sz w:val="24"/>
          <w:szCs w:val="24"/>
          <w:lang w:eastAsia="es-EC"/>
        </w:rPr>
        <w:t>.</w:t>
      </w:r>
    </w:p>
    <w:p w:rsidR="00DF10A0" w:rsidRPr="009A1C20" w:rsidRDefault="00DF10A0" w:rsidP="00DF10A0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A1C20">
        <w:rPr>
          <w:rFonts w:cstheme="minorHAnsi"/>
          <w:sz w:val="24"/>
          <w:szCs w:val="24"/>
        </w:rPr>
        <w:t xml:space="preserve">De igual manera en la </w:t>
      </w:r>
      <w:r w:rsidRPr="009A1C20">
        <w:rPr>
          <w:rFonts w:cstheme="minorHAnsi"/>
          <w:iCs/>
          <w:sz w:val="24"/>
          <w:szCs w:val="24"/>
        </w:rPr>
        <w:t xml:space="preserve">Sección 3 De los Casos de Derivación, su art. 17 indica: </w:t>
      </w:r>
      <w:r w:rsidRPr="00246144">
        <w:rPr>
          <w:rFonts w:cstheme="minorHAnsi"/>
          <w:i/>
          <w:iCs/>
          <w:sz w:val="24"/>
          <w:szCs w:val="24"/>
        </w:rPr>
        <w:t>Código de validación.- Es el registro alfa numérico, emitido de forma física o electrónica por el financiador/asegurador, mediante el cual autoriza al establecimiento de la Red Privada Complementaria, la entrega de una prestación o servicio de salud a su beneficiario.</w:t>
      </w:r>
    </w:p>
    <w:p w:rsidR="009A1C20" w:rsidRDefault="00DF10A0" w:rsidP="00246144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9A1C20">
        <w:rPr>
          <w:rFonts w:cstheme="minorHAnsi"/>
          <w:iCs/>
          <w:sz w:val="24"/>
          <w:szCs w:val="24"/>
        </w:rPr>
        <w:t>“</w:t>
      </w:r>
      <w:r w:rsidRPr="00246144">
        <w:rPr>
          <w:rFonts w:cstheme="minorHAnsi"/>
          <w:i/>
          <w:iCs/>
          <w:sz w:val="24"/>
          <w:szCs w:val="24"/>
        </w:rPr>
        <w:t>La gestión del código de validación es de responsabilidad del prestador y del financiador/asegurador (…)”</w:t>
      </w:r>
    </w:p>
    <w:p w:rsidR="009A1C20" w:rsidRPr="00246144" w:rsidRDefault="00720C7D" w:rsidP="00720C7D">
      <w:pPr>
        <w:autoSpaceDE w:val="0"/>
        <w:autoSpaceDN w:val="0"/>
        <w:adjustRightInd w:val="0"/>
        <w:jc w:val="both"/>
        <w:rPr>
          <w:rFonts w:eastAsia="Times New Roman" w:cstheme="minorHAnsi"/>
          <w:b/>
          <w:noProof/>
          <w:sz w:val="24"/>
          <w:szCs w:val="24"/>
          <w:lang w:eastAsia="es-EC"/>
        </w:rPr>
      </w:pPr>
      <w:r>
        <w:rPr>
          <w:rFonts w:cstheme="minorHAnsi"/>
          <w:iCs/>
          <w:sz w:val="24"/>
          <w:szCs w:val="24"/>
        </w:rPr>
        <w:t>En el “</w:t>
      </w:r>
      <w:r w:rsidRPr="009A698A">
        <w:rPr>
          <w:rFonts w:cstheme="minorHAnsi"/>
          <w:i/>
          <w:iCs/>
          <w:sz w:val="24"/>
          <w:szCs w:val="24"/>
        </w:rPr>
        <w:t>Instructivo para el pago de procuraciones fallidas</w:t>
      </w:r>
      <w:r>
        <w:rPr>
          <w:rFonts w:cstheme="minorHAnsi"/>
          <w:iCs/>
          <w:sz w:val="24"/>
          <w:szCs w:val="24"/>
        </w:rPr>
        <w:t>” del 21 de octubre de 2019, en el numeral 6.2 establece “</w:t>
      </w:r>
      <w:r w:rsidRPr="00F331C9">
        <w:rPr>
          <w:rFonts w:cstheme="minorHAnsi"/>
          <w:i/>
          <w:iCs/>
          <w:sz w:val="24"/>
          <w:szCs w:val="24"/>
        </w:rPr>
        <w:t>Al final de cada mes la Coordinación Zonal donde se produjo la o las procuraciones fallidas verificará la información enviada por el laboratorio co</w:t>
      </w:r>
      <w:r>
        <w:rPr>
          <w:rFonts w:cstheme="minorHAnsi"/>
          <w:i/>
          <w:iCs/>
          <w:sz w:val="24"/>
          <w:szCs w:val="24"/>
        </w:rPr>
        <w:t>n</w:t>
      </w:r>
      <w:r w:rsidRPr="00F331C9">
        <w:rPr>
          <w:rFonts w:cstheme="minorHAnsi"/>
          <w:i/>
          <w:iCs/>
          <w:sz w:val="24"/>
          <w:szCs w:val="24"/>
        </w:rPr>
        <w:t xml:space="preserve"> sus registros de operativos desarrollados en el mes, para la validación respectiva y elaborará los Anexos 1 y 2 establecidos en la Norma Sustitutiva de Relacionamiento, los mismo que se enviarán firmados por la coordinación zonal responsable del operativo y autorizado por la Coordinación General Técnica, a la Dirección Técnica de Provisión y Logística para la emisión manual de los códigos de validación</w:t>
      </w:r>
      <w:r>
        <w:rPr>
          <w:rFonts w:cstheme="minorHAnsi"/>
          <w:iCs/>
          <w:sz w:val="24"/>
          <w:szCs w:val="24"/>
        </w:rPr>
        <w:t>.”.</w:t>
      </w:r>
    </w:p>
    <w:p w:rsidR="00DF10A0" w:rsidRPr="009A1C20" w:rsidRDefault="00DF10A0" w:rsidP="00DF10A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noProof/>
          <w:sz w:val="24"/>
          <w:szCs w:val="24"/>
          <w:lang w:eastAsia="es-EC"/>
        </w:rPr>
      </w:pPr>
      <w:r w:rsidRPr="009A1C20">
        <w:rPr>
          <w:rFonts w:eastAsia="Times New Roman" w:cstheme="minorHAnsi"/>
          <w:b/>
          <w:noProof/>
          <w:sz w:val="24"/>
          <w:szCs w:val="24"/>
          <w:lang w:eastAsia="es-EC"/>
        </w:rPr>
        <w:t xml:space="preserve">3.- Objetivo General </w:t>
      </w:r>
    </w:p>
    <w:p w:rsidR="00DF10A0" w:rsidRDefault="006C430F" w:rsidP="00DF10A0">
      <w:pPr>
        <w:pStyle w:val="Normal2"/>
        <w:rPr>
          <w:rFonts w:asciiTheme="minorHAnsi" w:hAnsiTheme="minorHAnsi" w:cstheme="minorHAnsi"/>
          <w:sz w:val="24"/>
          <w:szCs w:val="24"/>
          <w:lang w:eastAsia="es-EC"/>
        </w:rPr>
      </w:pPr>
      <w:r w:rsidRPr="009A1C2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Establecer los parámetros para la </w:t>
      </w:r>
      <w:r w:rsidR="00844E44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creación</w:t>
      </w:r>
      <w:r w:rsidRPr="009A1C2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del código de validació</w:t>
      </w:r>
      <w:r w:rsidR="009A1C2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n para</w:t>
      </w:r>
      <w:r w:rsidR="00844E44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exámenes de laboratorio de</w:t>
      </w:r>
      <w:r w:rsidR="009A1C2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una procuración fallida</w:t>
      </w:r>
      <w:r w:rsidR="00DF10A0" w:rsidRPr="009A1C20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, conforme las competencias exclusivas otorgadas por la </w:t>
      </w:r>
      <w:r w:rsidR="00DF10A0" w:rsidRPr="009A1C20">
        <w:rPr>
          <w:rFonts w:asciiTheme="minorHAnsi" w:hAnsiTheme="minorHAnsi" w:cstheme="minorHAnsi"/>
          <w:sz w:val="24"/>
          <w:szCs w:val="24"/>
          <w:lang w:eastAsia="es-EC"/>
        </w:rPr>
        <w:t>Norma Técnica Sustitutiva de Relacionamiento para la Prestación de Servicios de Salud entre Instituciones de la Red Pública Integral de Salud y de la Red Privada Complementaria.</w:t>
      </w:r>
    </w:p>
    <w:p w:rsidR="00E555A9" w:rsidRPr="009A1C20" w:rsidRDefault="00E555A9" w:rsidP="00DF10A0">
      <w:pPr>
        <w:pStyle w:val="Normal2"/>
        <w:rPr>
          <w:rFonts w:asciiTheme="minorHAnsi" w:hAnsiTheme="minorHAnsi" w:cstheme="minorHAnsi"/>
          <w:sz w:val="24"/>
          <w:szCs w:val="24"/>
          <w:lang w:eastAsia="es-EC"/>
        </w:rPr>
      </w:pPr>
    </w:p>
    <w:p w:rsidR="00DF10A0" w:rsidRPr="009A1C20" w:rsidRDefault="00DF10A0" w:rsidP="00DF10A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noProof/>
          <w:sz w:val="24"/>
          <w:szCs w:val="24"/>
          <w:lang w:eastAsia="es-EC"/>
        </w:rPr>
      </w:pPr>
      <w:r w:rsidRPr="009A1C20">
        <w:rPr>
          <w:rFonts w:eastAsia="Times New Roman" w:cstheme="minorHAnsi"/>
          <w:b/>
          <w:noProof/>
          <w:sz w:val="24"/>
          <w:szCs w:val="24"/>
          <w:lang w:eastAsia="es-EC"/>
        </w:rPr>
        <w:lastRenderedPageBreak/>
        <w:t xml:space="preserve">4.- Alcance </w:t>
      </w:r>
    </w:p>
    <w:p w:rsidR="00DF10A0" w:rsidRPr="009A1C20" w:rsidRDefault="00DF10A0" w:rsidP="00DF10A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>El presente instructivo es de aplicación obligatoria para:</w:t>
      </w:r>
    </w:p>
    <w:p w:rsidR="006C430F" w:rsidRPr="009A1C20" w:rsidRDefault="00DF10A0" w:rsidP="009A1C20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ind w:left="426" w:hanging="284"/>
        <w:jc w:val="both"/>
        <w:rPr>
          <w:rFonts w:eastAsia="Times New Roman" w:cstheme="minorHAnsi"/>
          <w:sz w:val="24"/>
          <w:szCs w:val="24"/>
          <w:lang w:eastAsia="es-EC"/>
        </w:rPr>
      </w:pPr>
      <w:r w:rsidRPr="009A1C20">
        <w:rPr>
          <w:rFonts w:eastAsia="Times New Roman" w:cstheme="minorHAnsi"/>
          <w:sz w:val="24"/>
          <w:szCs w:val="24"/>
          <w:lang w:eastAsia="es-EC"/>
        </w:rPr>
        <w:t>Servidores públicos del Instituto Nacional de Donación y Trasplante de Órganos, Tejidos y Células (INDOT), involucrados en el presente proceso de pago de las procuraciones fallidas.</w:t>
      </w:r>
    </w:p>
    <w:p w:rsidR="00DF10A0" w:rsidRPr="009A1C20" w:rsidRDefault="00DF10A0" w:rsidP="00DF10A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z w:val="24"/>
          <w:szCs w:val="24"/>
          <w:lang w:eastAsia="es-EC"/>
        </w:rPr>
      </w:pPr>
      <w:r w:rsidRPr="009A1C20">
        <w:rPr>
          <w:rFonts w:eastAsia="Times New Roman" w:cstheme="minorHAnsi"/>
          <w:b/>
          <w:sz w:val="24"/>
          <w:szCs w:val="24"/>
          <w:lang w:eastAsia="es-EC"/>
        </w:rPr>
        <w:t xml:space="preserve">5.- Definición y Conceptos </w:t>
      </w:r>
    </w:p>
    <w:p w:rsidR="006C430F" w:rsidRPr="009A1C20" w:rsidRDefault="00DF10A0" w:rsidP="00DF10A0">
      <w:pPr>
        <w:autoSpaceDE w:val="0"/>
        <w:autoSpaceDN w:val="0"/>
        <w:adjustRightInd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A1C20">
        <w:rPr>
          <w:rFonts w:cstheme="minorHAnsi"/>
          <w:b/>
          <w:color w:val="000000" w:themeColor="text1"/>
          <w:sz w:val="24"/>
          <w:szCs w:val="24"/>
        </w:rPr>
        <w:t xml:space="preserve">Procuración: </w:t>
      </w:r>
    </w:p>
    <w:p w:rsidR="00DF10A0" w:rsidRPr="009A1C20" w:rsidRDefault="00DF10A0" w:rsidP="00DF10A0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9A1C20">
        <w:rPr>
          <w:rFonts w:cstheme="minorHAnsi"/>
          <w:color w:val="000000" w:themeColor="text1"/>
          <w:sz w:val="24"/>
          <w:szCs w:val="24"/>
        </w:rPr>
        <w:t>Es el conjunto de actividades relacionadas con la detección, identificación, evaluación y mantenimiento de un potencial donante cadavérico; con el diagnóstico y certificación de muerte, obtención del consentimiento familiar o de procurador en el caso de niños, niñas y adolescentes o de personas que no pueden expresar su voluntad de acuerdo a la Ley; con la coordinación de los equipos de ablación, acondicionamiento y mantenimiento de los órganos, tejidos y células en condiciones de viabilidad para su implante; y, con la asignación, búsqueda y localización de receptores.</w:t>
      </w:r>
    </w:p>
    <w:p w:rsidR="006C430F" w:rsidRPr="009A1C20" w:rsidRDefault="00DF10A0" w:rsidP="00DF10A0">
      <w:pPr>
        <w:spacing w:line="25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b/>
          <w:color w:val="000000" w:themeColor="text1"/>
          <w:sz w:val="24"/>
          <w:szCs w:val="24"/>
        </w:rPr>
        <w:t>Procuración fallida:</w:t>
      </w:r>
      <w:r w:rsidRPr="009A1C20">
        <w:rPr>
          <w:rFonts w:cstheme="minorHAnsi"/>
          <w:sz w:val="24"/>
          <w:szCs w:val="24"/>
        </w:rPr>
        <w:t xml:space="preserve"> </w:t>
      </w:r>
    </w:p>
    <w:p w:rsidR="00246144" w:rsidRPr="009A1C20" w:rsidRDefault="006C430F" w:rsidP="00DF10A0">
      <w:pPr>
        <w:spacing w:line="25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sz w:val="24"/>
          <w:szCs w:val="24"/>
        </w:rPr>
        <w:t>P</w:t>
      </w:r>
      <w:r w:rsidR="00DF10A0" w:rsidRPr="009A1C20">
        <w:rPr>
          <w:rFonts w:cstheme="minorHAnsi"/>
          <w:sz w:val="24"/>
          <w:szCs w:val="24"/>
        </w:rPr>
        <w:t>roceso de evaluación del donante en el que se ha realizado las pruebas de exámenes de laboratorio, y que por diferentes circunstancias, dependientes del donante y/o receptor, no ha sido posible trasplantar al menos un órgano.</w:t>
      </w:r>
    </w:p>
    <w:p w:rsidR="00DF10A0" w:rsidRPr="009A1C20" w:rsidRDefault="00DF10A0" w:rsidP="00DF10A0">
      <w:pPr>
        <w:spacing w:line="256" w:lineRule="auto"/>
        <w:jc w:val="both"/>
        <w:rPr>
          <w:rFonts w:cstheme="minorHAnsi"/>
          <w:b/>
          <w:sz w:val="24"/>
          <w:szCs w:val="24"/>
        </w:rPr>
      </w:pPr>
      <w:r w:rsidRPr="009A1C20">
        <w:rPr>
          <w:rFonts w:cstheme="minorHAnsi"/>
          <w:b/>
          <w:sz w:val="24"/>
          <w:szCs w:val="24"/>
        </w:rPr>
        <w:t xml:space="preserve">6.- Desarrollo </w:t>
      </w:r>
    </w:p>
    <w:p w:rsidR="00DF10A0" w:rsidRPr="009A1C20" w:rsidRDefault="00DF10A0" w:rsidP="00DF10A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z w:val="24"/>
          <w:szCs w:val="24"/>
          <w:lang w:eastAsia="es-EC"/>
        </w:rPr>
      </w:pPr>
      <w:r w:rsidRPr="009A1C20">
        <w:rPr>
          <w:rFonts w:eastAsia="Times New Roman" w:cstheme="minorHAnsi"/>
          <w:b/>
          <w:sz w:val="24"/>
          <w:szCs w:val="24"/>
          <w:lang w:eastAsia="es-EC"/>
        </w:rPr>
        <w:t xml:space="preserve">6.1 </w:t>
      </w:r>
      <w:r w:rsidR="006C430F" w:rsidRPr="009A1C20">
        <w:rPr>
          <w:rFonts w:eastAsia="Times New Roman" w:cstheme="minorHAnsi"/>
          <w:b/>
          <w:sz w:val="24"/>
          <w:szCs w:val="24"/>
          <w:lang w:eastAsia="es-EC"/>
        </w:rPr>
        <w:t>Código de</w:t>
      </w:r>
      <w:r w:rsidR="00D23508" w:rsidRPr="009A1C20">
        <w:rPr>
          <w:rFonts w:eastAsia="Times New Roman" w:cstheme="minorHAnsi"/>
          <w:b/>
          <w:sz w:val="24"/>
          <w:szCs w:val="24"/>
          <w:lang w:eastAsia="es-EC"/>
        </w:rPr>
        <w:t xml:space="preserve"> validación para una </w:t>
      </w:r>
      <w:r w:rsidRPr="009A1C20">
        <w:rPr>
          <w:rFonts w:eastAsia="Times New Roman" w:cstheme="minorHAnsi"/>
          <w:b/>
          <w:sz w:val="24"/>
          <w:szCs w:val="24"/>
          <w:lang w:eastAsia="es-EC"/>
        </w:rPr>
        <w:t xml:space="preserve">Procuración fallida </w:t>
      </w:r>
    </w:p>
    <w:p w:rsidR="00DF10A0" w:rsidRPr="009A1C20" w:rsidRDefault="00DF10A0" w:rsidP="00DF10A0">
      <w:pPr>
        <w:spacing w:before="100" w:beforeAutospacing="1" w:after="100" w:afterAutospacing="1" w:line="276" w:lineRule="auto"/>
        <w:jc w:val="both"/>
        <w:rPr>
          <w:rFonts w:cstheme="minorHAnsi"/>
          <w:b/>
          <w:sz w:val="24"/>
          <w:szCs w:val="24"/>
        </w:rPr>
      </w:pPr>
      <w:r w:rsidRPr="009A1C20">
        <w:rPr>
          <w:rFonts w:eastAsia="Times New Roman" w:cstheme="minorHAnsi"/>
          <w:b/>
          <w:sz w:val="24"/>
          <w:szCs w:val="24"/>
          <w:lang w:eastAsia="es-EC"/>
        </w:rPr>
        <w:t xml:space="preserve">6.1.1 </w:t>
      </w:r>
      <w:r w:rsidR="00246144">
        <w:rPr>
          <w:rFonts w:cstheme="minorHAnsi"/>
          <w:b/>
          <w:sz w:val="24"/>
          <w:szCs w:val="24"/>
        </w:rPr>
        <w:t xml:space="preserve">Elaboración </w:t>
      </w:r>
      <w:r w:rsidRPr="009A1C20">
        <w:rPr>
          <w:rFonts w:cstheme="minorHAnsi"/>
          <w:b/>
          <w:sz w:val="24"/>
          <w:szCs w:val="24"/>
        </w:rPr>
        <w:t xml:space="preserve">del Código </w:t>
      </w:r>
      <w:r w:rsidR="00D23508" w:rsidRPr="009A1C20">
        <w:rPr>
          <w:rFonts w:cstheme="minorHAnsi"/>
          <w:b/>
          <w:sz w:val="24"/>
          <w:szCs w:val="24"/>
        </w:rPr>
        <w:t xml:space="preserve">de validación </w:t>
      </w:r>
      <w:r w:rsidRPr="009A1C20">
        <w:rPr>
          <w:rFonts w:cstheme="minorHAnsi"/>
          <w:b/>
          <w:sz w:val="24"/>
          <w:szCs w:val="24"/>
        </w:rPr>
        <w:t xml:space="preserve">para </w:t>
      </w:r>
      <w:r w:rsidR="00AD0AB0">
        <w:rPr>
          <w:rFonts w:cstheme="minorHAnsi"/>
          <w:b/>
          <w:sz w:val="24"/>
          <w:szCs w:val="24"/>
        </w:rPr>
        <w:t xml:space="preserve">una </w:t>
      </w:r>
      <w:r w:rsidRPr="009A1C20">
        <w:rPr>
          <w:rFonts w:cstheme="minorHAnsi"/>
          <w:b/>
          <w:sz w:val="24"/>
          <w:szCs w:val="24"/>
        </w:rPr>
        <w:t xml:space="preserve">procuración fallida </w:t>
      </w:r>
    </w:p>
    <w:p w:rsidR="007953E4" w:rsidRPr="009A1C20" w:rsidRDefault="007953E4" w:rsidP="00DF10A0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sz w:val="24"/>
          <w:szCs w:val="24"/>
        </w:rPr>
        <w:t>Este código se utilizara para la identificación de las procuraciones fallidas y se establecerá con los siguientes parámetros:</w:t>
      </w:r>
    </w:p>
    <w:p w:rsidR="007953E4" w:rsidRPr="009A1C20" w:rsidRDefault="007953E4" w:rsidP="007953E4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sz w:val="24"/>
          <w:szCs w:val="24"/>
        </w:rPr>
        <w:t xml:space="preserve">Se utilizara la abreviatura </w:t>
      </w:r>
      <w:r w:rsidR="00071D66" w:rsidRPr="009A1C20">
        <w:rPr>
          <w:rFonts w:cstheme="minorHAnsi"/>
          <w:sz w:val="24"/>
          <w:szCs w:val="24"/>
        </w:rPr>
        <w:t xml:space="preserve">EL al inicio de la codificación </w:t>
      </w:r>
      <w:r w:rsidR="00811077" w:rsidRPr="009A1C20">
        <w:rPr>
          <w:rFonts w:cstheme="minorHAnsi"/>
          <w:sz w:val="24"/>
          <w:szCs w:val="24"/>
        </w:rPr>
        <w:t>para indicar (</w:t>
      </w:r>
      <w:r w:rsidRPr="009A1C20">
        <w:rPr>
          <w:rFonts w:cstheme="minorHAnsi"/>
          <w:sz w:val="24"/>
          <w:szCs w:val="24"/>
        </w:rPr>
        <w:t>ex</w:t>
      </w:r>
      <w:r w:rsidR="00811077" w:rsidRPr="009A1C20">
        <w:rPr>
          <w:rFonts w:cstheme="minorHAnsi"/>
          <w:sz w:val="24"/>
          <w:szCs w:val="24"/>
        </w:rPr>
        <w:t>amen de laboratorio)</w:t>
      </w:r>
      <w:r w:rsidR="00246144">
        <w:rPr>
          <w:rFonts w:cstheme="minorHAnsi"/>
          <w:sz w:val="24"/>
          <w:szCs w:val="24"/>
        </w:rPr>
        <w:t>.</w:t>
      </w:r>
    </w:p>
    <w:p w:rsidR="00811077" w:rsidRPr="009A1C20" w:rsidRDefault="00071D66" w:rsidP="007953E4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sz w:val="24"/>
          <w:szCs w:val="24"/>
        </w:rPr>
        <w:t>Fecha de la procuración fallida (día/mes/año) números sin espacio</w:t>
      </w:r>
      <w:r w:rsidR="00246144">
        <w:rPr>
          <w:rFonts w:cstheme="minorHAnsi"/>
          <w:sz w:val="24"/>
          <w:szCs w:val="24"/>
        </w:rPr>
        <w:t>.</w:t>
      </w:r>
    </w:p>
    <w:p w:rsidR="00811077" w:rsidRPr="009A1C20" w:rsidRDefault="00811077" w:rsidP="007953E4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sz w:val="24"/>
          <w:szCs w:val="24"/>
        </w:rPr>
        <w:lastRenderedPageBreak/>
        <w:t xml:space="preserve">Código de la </w:t>
      </w:r>
      <w:r w:rsidR="00720C7D">
        <w:rPr>
          <w:rFonts w:cstheme="minorHAnsi"/>
          <w:sz w:val="24"/>
          <w:szCs w:val="24"/>
        </w:rPr>
        <w:t>Coordinación Zonal INDOT a cargo de la procuración fallida</w:t>
      </w:r>
      <w:r w:rsidR="00246144">
        <w:rPr>
          <w:rFonts w:cstheme="minorHAnsi"/>
          <w:sz w:val="24"/>
          <w:szCs w:val="24"/>
        </w:rPr>
        <w:t>.</w:t>
      </w:r>
      <w:r w:rsidRPr="009A1C20">
        <w:rPr>
          <w:rFonts w:cstheme="minorHAnsi"/>
          <w:sz w:val="24"/>
          <w:szCs w:val="24"/>
        </w:rPr>
        <w:t xml:space="preserve"> </w:t>
      </w:r>
    </w:p>
    <w:p w:rsidR="00071D66" w:rsidRPr="009A1C20" w:rsidRDefault="00720C7D" w:rsidP="007953E4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Numero Secuencial de tres dígitos, que se reinicia cada año.</w:t>
      </w:r>
    </w:p>
    <w:p w:rsidR="00071D66" w:rsidRPr="009A1C20" w:rsidRDefault="00071D66" w:rsidP="007953E4">
      <w:pPr>
        <w:pStyle w:val="Prrafode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sz w:val="24"/>
          <w:szCs w:val="24"/>
        </w:rPr>
        <w:t>Utilización de la letra PF al final para indicar procuración fallida</w:t>
      </w:r>
      <w:r w:rsidR="00246144">
        <w:rPr>
          <w:rFonts w:cstheme="minorHAnsi"/>
          <w:sz w:val="24"/>
          <w:szCs w:val="24"/>
        </w:rPr>
        <w:t>.</w:t>
      </w:r>
      <w:r w:rsidRPr="009A1C20">
        <w:rPr>
          <w:rFonts w:cstheme="minorHAnsi"/>
          <w:sz w:val="24"/>
          <w:szCs w:val="24"/>
        </w:rPr>
        <w:t xml:space="preserve"> </w:t>
      </w:r>
    </w:p>
    <w:p w:rsidR="007F0368" w:rsidRPr="00246144" w:rsidRDefault="00246144" w:rsidP="00071D66">
      <w:pPr>
        <w:spacing w:before="100" w:beforeAutospacing="1" w:after="100" w:afterAutospacing="1" w:line="276" w:lineRule="auto"/>
        <w:jc w:val="both"/>
        <w:rPr>
          <w:rFonts w:cstheme="minorHAnsi"/>
          <w:b/>
          <w:sz w:val="24"/>
          <w:szCs w:val="24"/>
        </w:rPr>
      </w:pPr>
      <w:r w:rsidRPr="00246144">
        <w:rPr>
          <w:rFonts w:cstheme="minorHAnsi"/>
          <w:b/>
          <w:sz w:val="24"/>
          <w:szCs w:val="24"/>
        </w:rPr>
        <w:t>E</w:t>
      </w:r>
      <w:r w:rsidR="00071D66" w:rsidRPr="00246144">
        <w:rPr>
          <w:rFonts w:cstheme="minorHAnsi"/>
          <w:b/>
          <w:sz w:val="24"/>
          <w:szCs w:val="24"/>
        </w:rPr>
        <w:t xml:space="preserve">jemplo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71D66" w:rsidRPr="009A1C20" w:rsidTr="00071D66">
        <w:tc>
          <w:tcPr>
            <w:tcW w:w="1765" w:type="dxa"/>
          </w:tcPr>
          <w:p w:rsidR="00071D66" w:rsidRPr="009A1C20" w:rsidRDefault="00071D66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A1C20">
              <w:rPr>
                <w:rFonts w:cstheme="minorHAnsi"/>
                <w:b/>
                <w:sz w:val="24"/>
                <w:szCs w:val="24"/>
              </w:rPr>
              <w:t xml:space="preserve">Examen de la laboratorio </w:t>
            </w:r>
          </w:p>
        </w:tc>
        <w:tc>
          <w:tcPr>
            <w:tcW w:w="1765" w:type="dxa"/>
          </w:tcPr>
          <w:p w:rsidR="00071D66" w:rsidRPr="009A1C20" w:rsidRDefault="00071D66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A1C20">
              <w:rPr>
                <w:rFonts w:cstheme="minorHAnsi"/>
                <w:b/>
                <w:sz w:val="24"/>
                <w:szCs w:val="24"/>
              </w:rPr>
              <w:t xml:space="preserve">Fecha de procuración </w:t>
            </w:r>
          </w:p>
        </w:tc>
        <w:tc>
          <w:tcPr>
            <w:tcW w:w="1766" w:type="dxa"/>
          </w:tcPr>
          <w:p w:rsidR="00071D66" w:rsidRPr="009A1C20" w:rsidRDefault="00071D66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A1C20">
              <w:rPr>
                <w:rFonts w:cstheme="minorHAnsi"/>
                <w:b/>
                <w:sz w:val="24"/>
                <w:szCs w:val="24"/>
              </w:rPr>
              <w:t xml:space="preserve">Código zonal </w:t>
            </w:r>
          </w:p>
        </w:tc>
        <w:tc>
          <w:tcPr>
            <w:tcW w:w="1766" w:type="dxa"/>
          </w:tcPr>
          <w:p w:rsidR="00071D66" w:rsidRPr="009A1C20" w:rsidRDefault="00071D66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A1C20">
              <w:rPr>
                <w:rFonts w:cstheme="minorHAnsi"/>
                <w:b/>
                <w:sz w:val="24"/>
                <w:szCs w:val="24"/>
              </w:rPr>
              <w:t xml:space="preserve">Secuencial </w:t>
            </w:r>
          </w:p>
        </w:tc>
        <w:tc>
          <w:tcPr>
            <w:tcW w:w="1766" w:type="dxa"/>
          </w:tcPr>
          <w:p w:rsidR="00071D66" w:rsidRPr="009A1C20" w:rsidRDefault="00D23508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A1C20">
              <w:rPr>
                <w:rFonts w:cstheme="minorHAnsi"/>
                <w:b/>
                <w:sz w:val="24"/>
                <w:szCs w:val="24"/>
              </w:rPr>
              <w:t xml:space="preserve">Procuración Fallida </w:t>
            </w:r>
          </w:p>
        </w:tc>
      </w:tr>
      <w:tr w:rsidR="00071D66" w:rsidRPr="009A1C20" w:rsidTr="00071D66">
        <w:tc>
          <w:tcPr>
            <w:tcW w:w="1765" w:type="dxa"/>
          </w:tcPr>
          <w:p w:rsidR="00071D66" w:rsidRPr="009A1C20" w:rsidRDefault="00D23508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A1C20">
              <w:rPr>
                <w:rFonts w:cstheme="minorHAnsi"/>
                <w:sz w:val="24"/>
                <w:szCs w:val="24"/>
              </w:rPr>
              <w:t xml:space="preserve">EL </w:t>
            </w:r>
          </w:p>
        </w:tc>
        <w:tc>
          <w:tcPr>
            <w:tcW w:w="1765" w:type="dxa"/>
          </w:tcPr>
          <w:p w:rsidR="00071D66" w:rsidRPr="009A1C20" w:rsidRDefault="00D23508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A1C20">
              <w:rPr>
                <w:rFonts w:cstheme="minorHAnsi"/>
                <w:sz w:val="24"/>
                <w:szCs w:val="24"/>
              </w:rPr>
              <w:t>01112019</w:t>
            </w:r>
          </w:p>
        </w:tc>
        <w:tc>
          <w:tcPr>
            <w:tcW w:w="1766" w:type="dxa"/>
          </w:tcPr>
          <w:p w:rsidR="00071D66" w:rsidRPr="009A1C20" w:rsidRDefault="00720C7D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CZ1</w:t>
            </w:r>
          </w:p>
        </w:tc>
        <w:tc>
          <w:tcPr>
            <w:tcW w:w="1766" w:type="dxa"/>
          </w:tcPr>
          <w:p w:rsidR="00071D66" w:rsidRPr="009A1C20" w:rsidRDefault="00D23508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A1C20">
              <w:rPr>
                <w:rFonts w:cstheme="minorHAnsi"/>
                <w:sz w:val="24"/>
                <w:szCs w:val="24"/>
              </w:rPr>
              <w:t>001</w:t>
            </w:r>
          </w:p>
        </w:tc>
        <w:tc>
          <w:tcPr>
            <w:tcW w:w="1766" w:type="dxa"/>
          </w:tcPr>
          <w:p w:rsidR="00071D66" w:rsidRPr="009A1C20" w:rsidRDefault="00D23508" w:rsidP="00071D66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A1C20">
              <w:rPr>
                <w:rFonts w:cstheme="minorHAnsi"/>
                <w:sz w:val="24"/>
                <w:szCs w:val="24"/>
              </w:rPr>
              <w:t>PF</w:t>
            </w:r>
          </w:p>
        </w:tc>
      </w:tr>
    </w:tbl>
    <w:p w:rsidR="008D5721" w:rsidRDefault="006C430F" w:rsidP="00720C7D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9A1C20">
        <w:rPr>
          <w:rFonts w:cstheme="minorHAnsi"/>
          <w:sz w:val="24"/>
          <w:szCs w:val="24"/>
        </w:rPr>
        <w:t>Este código de validación se genera</w:t>
      </w:r>
      <w:r w:rsidR="00C82124" w:rsidRPr="009A1C20">
        <w:rPr>
          <w:rFonts w:cstheme="minorHAnsi"/>
          <w:sz w:val="24"/>
          <w:szCs w:val="24"/>
        </w:rPr>
        <w:t>ra</w:t>
      </w:r>
      <w:r w:rsidRPr="009A1C20">
        <w:rPr>
          <w:rFonts w:cstheme="minorHAnsi"/>
          <w:sz w:val="24"/>
          <w:szCs w:val="24"/>
        </w:rPr>
        <w:t xml:space="preserve"> </w:t>
      </w:r>
      <w:r w:rsidR="00246144">
        <w:rPr>
          <w:rFonts w:cstheme="minorHAnsi"/>
          <w:sz w:val="24"/>
          <w:szCs w:val="24"/>
        </w:rPr>
        <w:t>una vez que las Coordinaciones Z</w:t>
      </w:r>
      <w:r w:rsidRPr="009A1C20">
        <w:rPr>
          <w:rFonts w:cstheme="minorHAnsi"/>
          <w:sz w:val="24"/>
          <w:szCs w:val="24"/>
        </w:rPr>
        <w:t xml:space="preserve">onales </w:t>
      </w:r>
      <w:r w:rsidR="00246144">
        <w:rPr>
          <w:rFonts w:cstheme="minorHAnsi"/>
          <w:sz w:val="24"/>
          <w:szCs w:val="24"/>
        </w:rPr>
        <w:t xml:space="preserve">INDOT notifiquen vía oficial </w:t>
      </w:r>
      <w:r w:rsidR="008D5721" w:rsidRPr="008D5721">
        <w:rPr>
          <w:rFonts w:cstheme="minorHAnsi"/>
          <w:sz w:val="24"/>
          <w:szCs w:val="24"/>
        </w:rPr>
        <w:t>hasta los tres primeros días del siguiente mes</w:t>
      </w:r>
      <w:r w:rsidR="00246144">
        <w:rPr>
          <w:rFonts w:cstheme="minorHAnsi"/>
          <w:sz w:val="24"/>
          <w:szCs w:val="24"/>
        </w:rPr>
        <w:t xml:space="preserve"> a la Dirección Técnica de Provisión y Logística la existencia de </w:t>
      </w:r>
      <w:r w:rsidRPr="009A1C20">
        <w:rPr>
          <w:rFonts w:cstheme="minorHAnsi"/>
          <w:sz w:val="24"/>
          <w:szCs w:val="24"/>
        </w:rPr>
        <w:t>un</w:t>
      </w:r>
      <w:r w:rsidR="00C82124" w:rsidRPr="009A1C20">
        <w:rPr>
          <w:rFonts w:cstheme="minorHAnsi"/>
          <w:sz w:val="24"/>
          <w:szCs w:val="24"/>
        </w:rPr>
        <w:t>a</w:t>
      </w:r>
      <w:r w:rsidRPr="009A1C20">
        <w:rPr>
          <w:rFonts w:cstheme="minorHAnsi"/>
          <w:sz w:val="24"/>
          <w:szCs w:val="24"/>
        </w:rPr>
        <w:t xml:space="preserve"> procuración fallida</w:t>
      </w:r>
      <w:r w:rsidR="008D5721">
        <w:rPr>
          <w:rFonts w:cstheme="minorHAnsi"/>
          <w:sz w:val="24"/>
          <w:szCs w:val="24"/>
        </w:rPr>
        <w:t>.</w:t>
      </w:r>
    </w:p>
    <w:p w:rsidR="00AE1B37" w:rsidRDefault="008D5721" w:rsidP="00720C7D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  <w:r w:rsidRPr="008D5721">
        <w:rPr>
          <w:rFonts w:cstheme="minorHAnsi"/>
          <w:sz w:val="24"/>
          <w:szCs w:val="24"/>
        </w:rPr>
        <w:t>La Dirección Técnica de Provisión y Logística validará mensualmente la información recibida y creará la trazabilidad para la emisión manual de códigos de validación, que se lo realizará en el plazo de tres días laborables a partir de haber recibido el requerimiento por parte de las coordinaciones zonales y de haber recibido la información del laboratorio que realizó las pruebas</w:t>
      </w:r>
      <w:r>
        <w:rPr>
          <w:rFonts w:cstheme="minorHAnsi"/>
          <w:sz w:val="24"/>
          <w:szCs w:val="24"/>
        </w:rPr>
        <w:t xml:space="preserve">; </w:t>
      </w:r>
      <w:r w:rsidR="00C82124" w:rsidRPr="009A1C20">
        <w:rPr>
          <w:rFonts w:cstheme="minorHAnsi"/>
          <w:sz w:val="24"/>
          <w:szCs w:val="24"/>
        </w:rPr>
        <w:t xml:space="preserve">el mismo que </w:t>
      </w:r>
      <w:r w:rsidR="00246144">
        <w:rPr>
          <w:rFonts w:cstheme="minorHAnsi"/>
          <w:sz w:val="24"/>
          <w:szCs w:val="24"/>
        </w:rPr>
        <w:t xml:space="preserve">será uno de los documentos habilitantes </w:t>
      </w:r>
      <w:r w:rsidR="00C82124" w:rsidRPr="009A1C20">
        <w:rPr>
          <w:rFonts w:cstheme="minorHAnsi"/>
          <w:sz w:val="24"/>
          <w:szCs w:val="24"/>
        </w:rPr>
        <w:t>para el pago de las procuraciones fallidas a los prestadores externos acreditados</w:t>
      </w:r>
      <w:r w:rsidR="00177C1F">
        <w:rPr>
          <w:rFonts w:cstheme="minorHAnsi"/>
          <w:sz w:val="24"/>
          <w:szCs w:val="24"/>
        </w:rPr>
        <w:t xml:space="preserve"> o reacreditados</w:t>
      </w:r>
      <w:r w:rsidR="00C82124" w:rsidRPr="009A1C20">
        <w:rPr>
          <w:rFonts w:cstheme="minorHAnsi"/>
          <w:sz w:val="24"/>
          <w:szCs w:val="24"/>
        </w:rPr>
        <w:t xml:space="preserve"> por el INDOT. </w:t>
      </w:r>
    </w:p>
    <w:p w:rsidR="008D5721" w:rsidRDefault="008D5721" w:rsidP="00720C7D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889"/>
        <w:gridCol w:w="2789"/>
        <w:gridCol w:w="2900"/>
      </w:tblGrid>
      <w:tr w:rsidR="008D5721" w:rsidTr="008D5721">
        <w:tc>
          <w:tcPr>
            <w:tcW w:w="2977" w:type="dxa"/>
          </w:tcPr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Elaborado por:</w:t>
            </w: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Dr. Gustavo Quishpe</w:t>
            </w:r>
          </w:p>
          <w:p w:rsidR="008D5721" w:rsidRDefault="00E157A8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ANALISTA DE PROVISIÓN Y LOGÍ</w:t>
            </w:r>
            <w:r w:rsidR="008D5721">
              <w:rPr>
                <w:rFonts w:eastAsia="Calibri" w:cs="Times New Roman"/>
                <w:szCs w:val="24"/>
                <w:lang w:val="es-ES"/>
              </w:rPr>
              <w:t>STICA</w:t>
            </w:r>
          </w:p>
          <w:p w:rsidR="008D5721" w:rsidRDefault="008D5721" w:rsidP="008D5721">
            <w:pPr>
              <w:pStyle w:val="Prrafodelista"/>
              <w:spacing w:before="100" w:beforeAutospacing="1" w:after="100" w:afterAutospacing="1" w:line="276" w:lineRule="auto"/>
              <w:ind w:left="0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E555A9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3A1D0EE" wp14:editId="31D900F8">
                  <wp:extent cx="1552575" cy="514350"/>
                  <wp:effectExtent l="0" t="0" r="9525" b="0"/>
                  <wp:docPr id="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9" t="27049" r="1393" b="18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Revisado por:</w:t>
            </w: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Dra. Johanna Zambrano</w:t>
            </w:r>
          </w:p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DIRECTORA TÉCNICA DE PROVISIÓN Y LOGÍSTICA</w:t>
            </w:r>
          </w:p>
          <w:p w:rsidR="00E555A9" w:rsidRDefault="00E555A9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</w:p>
          <w:p w:rsidR="00E555A9" w:rsidRDefault="00E555A9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3A1D0EE" wp14:editId="31D900F8">
                  <wp:extent cx="1552575" cy="514350"/>
                  <wp:effectExtent l="0" t="0" r="9525" b="0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9" t="27049" r="1393" b="18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2" w:type="dxa"/>
          </w:tcPr>
          <w:p w:rsidR="008D5721" w:rsidRDefault="008D5721" w:rsidP="00C636E8">
            <w:pPr>
              <w:pStyle w:val="Prrafodelista"/>
              <w:spacing w:before="100" w:beforeAutospacing="1" w:after="100" w:afterAutospacing="1" w:line="276" w:lineRule="auto"/>
              <w:ind w:left="0"/>
              <w:jc w:val="both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Aprobado por:</w:t>
            </w:r>
          </w:p>
          <w:p w:rsidR="008D5721" w:rsidRDefault="008D5721" w:rsidP="008D5721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8D5721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8D5721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</w:p>
          <w:p w:rsidR="008D5721" w:rsidRDefault="008D5721" w:rsidP="008D5721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Dra. Sandra Luna</w:t>
            </w:r>
          </w:p>
          <w:p w:rsidR="008D5721" w:rsidRDefault="008D5721" w:rsidP="008D5721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rFonts w:eastAsia="Calibri" w:cs="Times New Roman"/>
                <w:szCs w:val="24"/>
                <w:lang w:val="es-ES"/>
              </w:rPr>
              <w:t>COORDINADORA GENERAL TÉCNICA</w:t>
            </w:r>
          </w:p>
          <w:p w:rsidR="00E555A9" w:rsidRDefault="00E555A9" w:rsidP="008D5721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</w:p>
          <w:p w:rsidR="00E555A9" w:rsidRDefault="00E555A9" w:rsidP="008D5721">
            <w:pPr>
              <w:pStyle w:val="Prrafodelista"/>
              <w:spacing w:before="100" w:beforeAutospacing="1" w:after="100" w:afterAutospacing="1" w:line="276" w:lineRule="auto"/>
              <w:ind w:left="0"/>
              <w:jc w:val="center"/>
              <w:rPr>
                <w:rFonts w:eastAsia="Calibri" w:cs="Times New Roman"/>
                <w:szCs w:val="24"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3A1D0EE" wp14:editId="31D900F8">
                  <wp:extent cx="1552575" cy="514350"/>
                  <wp:effectExtent l="0" t="0" r="9525" b="0"/>
                  <wp:docPr id="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9" t="27049" r="1393" b="18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5721" w:rsidRPr="008D5721" w:rsidRDefault="008D5721" w:rsidP="00720C7D">
      <w:pPr>
        <w:spacing w:before="100" w:beforeAutospacing="1" w:after="100" w:afterAutospacing="1" w:line="276" w:lineRule="auto"/>
        <w:jc w:val="both"/>
        <w:rPr>
          <w:rFonts w:cstheme="minorHAnsi"/>
          <w:sz w:val="24"/>
          <w:szCs w:val="24"/>
        </w:rPr>
      </w:pPr>
    </w:p>
    <w:sectPr w:rsidR="008D5721" w:rsidRPr="008D572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EC8" w:rsidRDefault="00C13EC8" w:rsidP="00DF10A0">
      <w:pPr>
        <w:spacing w:after="0" w:line="240" w:lineRule="auto"/>
      </w:pPr>
      <w:r>
        <w:separator/>
      </w:r>
    </w:p>
  </w:endnote>
  <w:endnote w:type="continuationSeparator" w:id="0">
    <w:p w:rsidR="00C13EC8" w:rsidRDefault="00C13EC8" w:rsidP="00DF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EC8" w:rsidRDefault="00C13EC8" w:rsidP="00DF10A0">
      <w:pPr>
        <w:spacing w:after="0" w:line="240" w:lineRule="auto"/>
      </w:pPr>
      <w:r>
        <w:separator/>
      </w:r>
    </w:p>
  </w:footnote>
  <w:footnote w:type="continuationSeparator" w:id="0">
    <w:p w:rsidR="00C13EC8" w:rsidRDefault="00C13EC8" w:rsidP="00DF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00"/>
      <w:gridCol w:w="3862"/>
      <w:gridCol w:w="3178"/>
    </w:tblGrid>
    <w:tr w:rsidR="00E555A9" w:rsidRPr="00C25097" w:rsidTr="00ED7BD3">
      <w:trPr>
        <w:trHeight w:val="527"/>
      </w:trPr>
      <w:tc>
        <w:tcPr>
          <w:tcW w:w="2600" w:type="dxa"/>
          <w:vMerge w:val="restart"/>
          <w:vAlign w:val="center"/>
        </w:tcPr>
        <w:p w:rsidR="00E555A9" w:rsidRPr="00C25097" w:rsidRDefault="00E555A9" w:rsidP="00E555A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  <w:lang w:eastAsia="es-EC"/>
            </w:rPr>
            <w:drawing>
              <wp:inline distT="0" distB="0" distL="0" distR="0" wp14:anchorId="3D2A66BE" wp14:editId="1EB4496A">
                <wp:extent cx="1552575" cy="514350"/>
                <wp:effectExtent l="0" t="0" r="9525" b="0"/>
                <wp:docPr id="5190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9" t="27049" r="1393" b="188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shd w:val="clear" w:color="auto" w:fill="auto"/>
          <w:vAlign w:val="center"/>
        </w:tcPr>
        <w:p w:rsidR="00E555A9" w:rsidRPr="00C25097" w:rsidRDefault="00E555A9" w:rsidP="00E555A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GUIA PARA LA </w:t>
          </w:r>
          <w:r>
            <w:rPr>
              <w:rFonts w:ascii="Arial" w:hAnsi="Arial" w:cs="Arial"/>
              <w:b/>
            </w:rPr>
            <w:t>CREACIÓN DEL CÓDIGO DE VALIDACIÓN PARA EXÁMENES DE LABORATORIO DE UNA PROCURACIÓN FALLIDA</w:t>
          </w:r>
        </w:p>
      </w:tc>
      <w:tc>
        <w:tcPr>
          <w:tcW w:w="3178" w:type="dxa"/>
          <w:vAlign w:val="center"/>
        </w:tcPr>
        <w:p w:rsidR="00E555A9" w:rsidRPr="00C25097" w:rsidRDefault="00E555A9" w:rsidP="00E555A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13-11-2019</w:t>
          </w:r>
        </w:p>
      </w:tc>
    </w:tr>
    <w:tr w:rsidR="00E555A9" w:rsidRPr="00C25097" w:rsidTr="00ED7BD3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600" w:type="dxa"/>
          <w:vMerge/>
        </w:tcPr>
        <w:p w:rsidR="00E555A9" w:rsidRPr="00C25097" w:rsidRDefault="00E555A9" w:rsidP="00E555A9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62" w:type="dxa"/>
          <w:vMerge/>
          <w:shd w:val="clear" w:color="auto" w:fill="auto"/>
        </w:tcPr>
        <w:p w:rsidR="00E555A9" w:rsidRPr="00C25097" w:rsidRDefault="00E555A9" w:rsidP="00E555A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</w:rPr>
          </w:pPr>
        </w:p>
      </w:tc>
      <w:tc>
        <w:tcPr>
          <w:tcW w:w="3178" w:type="dxa"/>
          <w:vAlign w:val="center"/>
        </w:tcPr>
        <w:p w:rsidR="00E555A9" w:rsidRPr="00C25097" w:rsidRDefault="00E555A9" w:rsidP="00E555A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</w:rPr>
          </w:pPr>
          <w:r w:rsidRPr="00C25097">
            <w:rPr>
              <w:rFonts w:ascii="Arial" w:eastAsia="Calibri" w:hAnsi="Arial" w:cs="Arial"/>
              <w:b/>
              <w:sz w:val="20"/>
            </w:rPr>
            <w:t xml:space="preserve">CÓDIGO: </w:t>
          </w:r>
          <w:r w:rsidRPr="00E555A9">
            <w:rPr>
              <w:rFonts w:ascii="Arial" w:eastAsia="Calibri" w:hAnsi="Arial" w:cs="Arial"/>
              <w:sz w:val="20"/>
            </w:rPr>
            <w:t>PRL-11-GU-01</w:t>
          </w:r>
        </w:p>
      </w:tc>
    </w:tr>
    <w:tr w:rsidR="00E555A9" w:rsidRPr="00C25097" w:rsidTr="00ED7BD3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600" w:type="dxa"/>
          <w:vMerge/>
        </w:tcPr>
        <w:p w:rsidR="00E555A9" w:rsidRPr="00C25097" w:rsidRDefault="00E555A9" w:rsidP="00E555A9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62" w:type="dxa"/>
          <w:shd w:val="clear" w:color="auto" w:fill="auto"/>
          <w:vAlign w:val="center"/>
        </w:tcPr>
        <w:p w:rsidR="00E555A9" w:rsidRPr="00C25097" w:rsidRDefault="00E555A9" w:rsidP="00E555A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>
            <w:rPr>
              <w:rFonts w:ascii="Arial" w:eastAsia="Calibri" w:hAnsi="Arial" w:cs="Arial"/>
            </w:rPr>
            <w:t>01</w:t>
          </w:r>
        </w:p>
      </w:tc>
      <w:tc>
        <w:tcPr>
          <w:tcW w:w="3178" w:type="dxa"/>
          <w:vMerge w:val="restart"/>
          <w:vAlign w:val="center"/>
        </w:tcPr>
        <w:p w:rsidR="00E555A9" w:rsidRPr="00C25097" w:rsidRDefault="00E555A9" w:rsidP="00E555A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4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E555A9" w:rsidRPr="00C25097" w:rsidTr="00ED7BD3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600" w:type="dxa"/>
          <w:vMerge/>
          <w:tcBorders>
            <w:bottom w:val="single" w:sz="4" w:space="0" w:color="auto"/>
          </w:tcBorders>
        </w:tcPr>
        <w:p w:rsidR="00E555A9" w:rsidRPr="00C25097" w:rsidRDefault="00E555A9" w:rsidP="00E555A9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62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E555A9" w:rsidRPr="00C25097" w:rsidRDefault="00E555A9" w:rsidP="00E555A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</w:rPr>
          </w:pPr>
          <w:r w:rsidRPr="00C25097"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:rsidR="00E555A9" w:rsidRPr="00C25097" w:rsidRDefault="00E555A9" w:rsidP="00E555A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5711871" wp14:editId="5EC34B9D">
                    <wp:simplePos x="0" y="0"/>
                    <wp:positionH relativeFrom="column">
                      <wp:posOffset>1983740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C725C4" id="Rectángulo 10" o:spid="_x0000_s1026" style="position:absolute;margin-left:156.2pt;margin-top:3.2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B1DOn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538B874" wp14:editId="6C08FBA0">
                    <wp:simplePos x="0" y="0"/>
                    <wp:positionH relativeFrom="column">
                      <wp:posOffset>1444625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00790B" id="Rectángulo 8" o:spid="_x0000_s1026" style="position:absolute;margin-left:113.75pt;margin-top:3.2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Em1TWvdAAAACAEAAA8AAAAAAAAAAAAAAAAAfAQAAGRycy9kb3ducmV2&#10;LnhtbFBLBQYAAAAABAAEAPMAAACG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AA1FE3" wp14:editId="2C961D8F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588600" id="Rectángulo 9" o:spid="_x0000_s1026" style="position:absolute;margin-left:67.35pt;margin-top:2.8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F8C57A" wp14:editId="03BC9A96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0E0F4D" id="Rectángulo 7" o:spid="_x0000_s1026" style="position:absolute;margin-left:24.05pt;margin-top:3.1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</w:p>
      </w:tc>
      <w:tc>
        <w:tcPr>
          <w:tcW w:w="3178" w:type="dxa"/>
          <w:vMerge/>
          <w:vAlign w:val="center"/>
        </w:tcPr>
        <w:p w:rsidR="00E555A9" w:rsidRPr="00C25097" w:rsidRDefault="00E555A9" w:rsidP="00E555A9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E555A9" w:rsidRDefault="00E555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6DB"/>
    <w:multiLevelType w:val="hybridMultilevel"/>
    <w:tmpl w:val="00F4D98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62B0"/>
    <w:multiLevelType w:val="multilevel"/>
    <w:tmpl w:val="688E62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1"/>
    <w:rsid w:val="000509F2"/>
    <w:rsid w:val="00071D66"/>
    <w:rsid w:val="000A075E"/>
    <w:rsid w:val="000C6648"/>
    <w:rsid w:val="001527FB"/>
    <w:rsid w:val="00164082"/>
    <w:rsid w:val="00177C1F"/>
    <w:rsid w:val="00214429"/>
    <w:rsid w:val="00246144"/>
    <w:rsid w:val="00424C3C"/>
    <w:rsid w:val="005150B3"/>
    <w:rsid w:val="005B1D18"/>
    <w:rsid w:val="006C430F"/>
    <w:rsid w:val="00720C7D"/>
    <w:rsid w:val="007953E4"/>
    <w:rsid w:val="007F0368"/>
    <w:rsid w:val="00807ADA"/>
    <w:rsid w:val="00811077"/>
    <w:rsid w:val="00844E44"/>
    <w:rsid w:val="008B69BE"/>
    <w:rsid w:val="008D5721"/>
    <w:rsid w:val="00941DAF"/>
    <w:rsid w:val="009A1C20"/>
    <w:rsid w:val="00AD0AB0"/>
    <w:rsid w:val="00AE1B37"/>
    <w:rsid w:val="00AE4041"/>
    <w:rsid w:val="00B74D9D"/>
    <w:rsid w:val="00C13EC8"/>
    <w:rsid w:val="00C82124"/>
    <w:rsid w:val="00D23508"/>
    <w:rsid w:val="00DF10A0"/>
    <w:rsid w:val="00E04961"/>
    <w:rsid w:val="00E157A8"/>
    <w:rsid w:val="00E223C3"/>
    <w:rsid w:val="00E555A9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EC5760D-9F1C-44A1-A7C4-3C0314E6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E4041"/>
    <w:pPr>
      <w:ind w:left="720"/>
      <w:contextualSpacing/>
    </w:pPr>
  </w:style>
  <w:style w:type="character" w:customStyle="1" w:styleId="Normal2Car">
    <w:name w:val="Normal 2 Car"/>
    <w:link w:val="Normal2"/>
    <w:locked/>
    <w:rsid w:val="00DF10A0"/>
    <w:rPr>
      <w:rFonts w:ascii="Calibri" w:eastAsia="Times New Roman" w:hAnsi="Calibri" w:cs="Times New Roman"/>
      <w:color w:val="000000"/>
      <w:lang w:val="es-ES" w:eastAsia="es-ES"/>
    </w:rPr>
  </w:style>
  <w:style w:type="paragraph" w:customStyle="1" w:styleId="Normal2">
    <w:name w:val="Normal 2"/>
    <w:basedOn w:val="Normal"/>
    <w:link w:val="Normal2Car"/>
    <w:qFormat/>
    <w:rsid w:val="00DF10A0"/>
    <w:pPr>
      <w:spacing w:after="0" w:line="276" w:lineRule="auto"/>
      <w:jc w:val="both"/>
    </w:pPr>
    <w:rPr>
      <w:rFonts w:ascii="Calibri" w:eastAsia="Times New Roman" w:hAnsi="Calibri" w:cs="Times New Roman"/>
      <w:color w:val="00000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F10A0"/>
  </w:style>
  <w:style w:type="paragraph" w:styleId="Textonotapie">
    <w:name w:val="footnote text"/>
    <w:aliases w:val="Footnote Text Char Char,Footnote Text Char,Fußnotentextr,fn,footnote,Texto nota pie IIRSA,Texto de rodapé,nota_rodapé,nota de rodapé,nota de rodapé Car Car,nota de rodapé Car Car Car Car Car Car Car Car Car Car Car,Footnote Text Char2,F,f"/>
    <w:basedOn w:val="Normal"/>
    <w:link w:val="TextonotapieCar"/>
    <w:uiPriority w:val="99"/>
    <w:unhideWhenUsed/>
    <w:qFormat/>
    <w:rsid w:val="00DF10A0"/>
    <w:pPr>
      <w:spacing w:after="0" w:line="240" w:lineRule="auto"/>
    </w:pPr>
    <w:rPr>
      <w:rFonts w:ascii="Times New Roman" w:eastAsia="Droid Sans Fallback" w:hAnsi="Times New Roman" w:cs="Calibri"/>
      <w:sz w:val="20"/>
      <w:szCs w:val="20"/>
    </w:rPr>
  </w:style>
  <w:style w:type="character" w:customStyle="1" w:styleId="TextonotapieCar">
    <w:name w:val="Texto nota pie Car"/>
    <w:aliases w:val="Footnote Text Char Char Car,Footnote Text Char Car,Fußnotentextr Car,fn Car,footnote Car,Texto nota pie IIRSA Car,Texto de rodapé Car,nota_rodapé Car,nota de rodapé Car,nota de rodapé Car Car Car,Footnote Text Char2 Car,F Car,f Car"/>
    <w:basedOn w:val="Fuentedeprrafopredeter"/>
    <w:link w:val="Textonotapie"/>
    <w:uiPriority w:val="99"/>
    <w:rsid w:val="00DF10A0"/>
    <w:rPr>
      <w:rFonts w:ascii="Times New Roman" w:eastAsia="Droid Sans Fallback" w:hAnsi="Times New Roman" w:cs="Calibri"/>
      <w:sz w:val="20"/>
      <w:szCs w:val="20"/>
    </w:rPr>
  </w:style>
  <w:style w:type="character" w:styleId="Refdenotaalpie">
    <w:name w:val="footnote reference"/>
    <w:aliases w:val="Ref,de nota al pie"/>
    <w:basedOn w:val="Fuentedeprrafopredeter"/>
    <w:uiPriority w:val="99"/>
    <w:semiHidden/>
    <w:unhideWhenUsed/>
    <w:rsid w:val="00DF10A0"/>
    <w:rPr>
      <w:vertAlign w:val="superscript"/>
    </w:rPr>
  </w:style>
  <w:style w:type="table" w:styleId="Tablaconcuadrcula">
    <w:name w:val="Table Grid"/>
    <w:basedOn w:val="Tablanormal"/>
    <w:uiPriority w:val="39"/>
    <w:rsid w:val="0007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4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961"/>
  </w:style>
  <w:style w:type="paragraph" w:styleId="Piedepgina">
    <w:name w:val="footer"/>
    <w:basedOn w:val="Normal"/>
    <w:link w:val="PiedepginaCar"/>
    <w:uiPriority w:val="99"/>
    <w:unhideWhenUsed/>
    <w:rsid w:val="00E04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961"/>
  </w:style>
  <w:style w:type="character" w:styleId="Refdecomentario">
    <w:name w:val="annotation reference"/>
    <w:basedOn w:val="Fuentedeprrafopredeter"/>
    <w:uiPriority w:val="99"/>
    <w:semiHidden/>
    <w:unhideWhenUsed/>
    <w:rsid w:val="009A1C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C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C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C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C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johanna.zambrano</dc:creator>
  <cp:lastModifiedBy>diego.espinoza</cp:lastModifiedBy>
  <cp:revision>2</cp:revision>
  <cp:lastPrinted>2019-11-13T13:47:00Z</cp:lastPrinted>
  <dcterms:created xsi:type="dcterms:W3CDTF">2019-11-13T15:19:00Z</dcterms:created>
  <dcterms:modified xsi:type="dcterms:W3CDTF">2019-11-13T15:19:00Z</dcterms:modified>
</cp:coreProperties>
</file>