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E44D6" w14:textId="77777777" w:rsidR="005F7615" w:rsidRDefault="005F7615" w:rsidP="005F7615">
      <w:pPr>
        <w:spacing w:before="100" w:beforeAutospacing="1" w:after="100" w:afterAutospacing="1" w:line="276" w:lineRule="auto"/>
        <w:jc w:val="center"/>
        <w:rPr>
          <w:rFonts w:eastAsia="Calibri" w:cs="Times New Roman"/>
          <w:b/>
          <w:szCs w:val="24"/>
          <w:lang w:val="es-ES"/>
        </w:rPr>
      </w:pPr>
    </w:p>
    <w:p w14:paraId="1173CB6B" w14:textId="77777777" w:rsidR="005F7615" w:rsidRDefault="005F7615" w:rsidP="005F7615">
      <w:pPr>
        <w:spacing w:before="100" w:beforeAutospacing="1" w:after="100" w:afterAutospacing="1" w:line="276" w:lineRule="auto"/>
        <w:jc w:val="center"/>
        <w:rPr>
          <w:rFonts w:eastAsia="Calibri" w:cs="Times New Roman"/>
          <w:b/>
          <w:szCs w:val="24"/>
          <w:lang w:val="es-ES"/>
        </w:rPr>
      </w:pPr>
    </w:p>
    <w:p w14:paraId="224F7D26" w14:textId="77777777" w:rsidR="005F7615" w:rsidRDefault="005F7615" w:rsidP="005F7615">
      <w:pPr>
        <w:spacing w:before="100" w:beforeAutospacing="1" w:after="100" w:afterAutospacing="1" w:line="276" w:lineRule="auto"/>
        <w:jc w:val="center"/>
        <w:rPr>
          <w:rFonts w:eastAsia="Calibri" w:cs="Times New Roman"/>
          <w:b/>
          <w:szCs w:val="24"/>
          <w:lang w:val="es-ES"/>
        </w:rPr>
      </w:pPr>
      <w:bookmarkStart w:id="0" w:name="_GoBack"/>
      <w:bookmarkEnd w:id="0"/>
    </w:p>
    <w:p w14:paraId="5E80D3E6" w14:textId="77777777" w:rsidR="005F7615" w:rsidRDefault="005F7615" w:rsidP="005F7615">
      <w:pPr>
        <w:spacing w:before="100" w:beforeAutospacing="1" w:after="100" w:afterAutospacing="1" w:line="276" w:lineRule="auto"/>
        <w:jc w:val="center"/>
        <w:rPr>
          <w:rFonts w:eastAsia="Calibri" w:cs="Times New Roman"/>
          <w:b/>
          <w:szCs w:val="24"/>
          <w:lang w:val="es-ES"/>
        </w:rPr>
      </w:pPr>
    </w:p>
    <w:p w14:paraId="0F4E0822" w14:textId="77777777" w:rsidR="005F7615" w:rsidRDefault="005F7615" w:rsidP="005F7615">
      <w:pPr>
        <w:spacing w:before="100" w:beforeAutospacing="1" w:after="100" w:afterAutospacing="1" w:line="276" w:lineRule="auto"/>
        <w:jc w:val="center"/>
        <w:rPr>
          <w:rFonts w:eastAsia="Calibri" w:cs="Times New Roman"/>
          <w:b/>
          <w:szCs w:val="24"/>
          <w:lang w:val="es-ES"/>
        </w:rPr>
      </w:pPr>
    </w:p>
    <w:p w14:paraId="5F365008" w14:textId="77777777" w:rsidR="005F7615" w:rsidRPr="005F7615" w:rsidRDefault="005F7615" w:rsidP="005F7615">
      <w:pPr>
        <w:spacing w:before="100" w:beforeAutospacing="1" w:after="100" w:afterAutospacing="1" w:line="276" w:lineRule="auto"/>
        <w:jc w:val="center"/>
        <w:rPr>
          <w:rFonts w:eastAsia="Calibri" w:cs="Times New Roman"/>
          <w:b/>
          <w:sz w:val="36"/>
          <w:szCs w:val="24"/>
          <w:lang w:val="es-ES"/>
        </w:rPr>
      </w:pPr>
      <w:r w:rsidRPr="005F7615">
        <w:rPr>
          <w:rFonts w:eastAsia="Calibri" w:cs="Times New Roman"/>
          <w:b/>
          <w:sz w:val="36"/>
          <w:szCs w:val="24"/>
          <w:lang w:val="es-ES"/>
        </w:rPr>
        <w:t>INSTRUCTIVO PARA EL PAGO DE PROCURACIONES FALLIDAS</w:t>
      </w:r>
    </w:p>
    <w:p w14:paraId="41A92716" w14:textId="77777777" w:rsidR="005F7615" w:rsidRDefault="005F7615" w:rsidP="005F7615">
      <w:pPr>
        <w:spacing w:before="100" w:beforeAutospacing="1" w:after="100" w:afterAutospacing="1" w:line="276" w:lineRule="auto"/>
        <w:jc w:val="center"/>
        <w:rPr>
          <w:rFonts w:eastAsia="Calibri" w:cs="Times New Roman"/>
          <w:b/>
          <w:sz w:val="36"/>
          <w:szCs w:val="24"/>
          <w:lang w:val="es-ES"/>
        </w:rPr>
      </w:pPr>
    </w:p>
    <w:p w14:paraId="3F9AB135" w14:textId="77777777" w:rsidR="005F7615" w:rsidRDefault="005F7615" w:rsidP="005F7615">
      <w:pPr>
        <w:spacing w:before="100" w:beforeAutospacing="1" w:after="100" w:afterAutospacing="1" w:line="276" w:lineRule="auto"/>
        <w:jc w:val="center"/>
        <w:rPr>
          <w:rFonts w:eastAsia="Calibri" w:cs="Times New Roman"/>
          <w:b/>
          <w:sz w:val="36"/>
          <w:szCs w:val="24"/>
          <w:lang w:val="es-ES"/>
        </w:rPr>
      </w:pPr>
    </w:p>
    <w:p w14:paraId="2C8D0237" w14:textId="77777777" w:rsidR="005F7615" w:rsidRPr="005F7615" w:rsidRDefault="005F7615" w:rsidP="005F7615">
      <w:pPr>
        <w:spacing w:before="100" w:beforeAutospacing="1" w:after="100" w:afterAutospacing="1" w:line="276" w:lineRule="auto"/>
        <w:jc w:val="center"/>
        <w:rPr>
          <w:rFonts w:eastAsia="Calibri" w:cs="Times New Roman"/>
          <w:b/>
          <w:sz w:val="36"/>
          <w:szCs w:val="24"/>
          <w:lang w:val="es-ES"/>
        </w:rPr>
      </w:pPr>
    </w:p>
    <w:p w14:paraId="114D4B37" w14:textId="77777777" w:rsidR="005F7615" w:rsidRPr="005F7615" w:rsidRDefault="005F7615" w:rsidP="005F7615">
      <w:pPr>
        <w:spacing w:before="100" w:beforeAutospacing="1" w:after="100" w:afterAutospacing="1" w:line="276" w:lineRule="auto"/>
        <w:jc w:val="center"/>
        <w:rPr>
          <w:rFonts w:eastAsia="Calibri" w:cs="Times New Roman"/>
          <w:b/>
          <w:sz w:val="36"/>
          <w:szCs w:val="24"/>
          <w:lang w:val="es-ES"/>
        </w:rPr>
      </w:pPr>
      <w:r w:rsidRPr="005F7615">
        <w:rPr>
          <w:rFonts w:eastAsia="Calibri" w:cs="Times New Roman"/>
          <w:b/>
          <w:sz w:val="36"/>
          <w:szCs w:val="24"/>
          <w:lang w:val="es-ES"/>
        </w:rPr>
        <w:t>2019</w:t>
      </w:r>
    </w:p>
    <w:p w14:paraId="5D4B36C0" w14:textId="77777777" w:rsidR="005F7615" w:rsidRPr="005F7615" w:rsidRDefault="005F7615" w:rsidP="005F7615">
      <w:pPr>
        <w:tabs>
          <w:tab w:val="left" w:pos="3111"/>
        </w:tabs>
        <w:spacing w:before="100" w:beforeAutospacing="1" w:after="100" w:afterAutospacing="1" w:line="276" w:lineRule="auto"/>
        <w:jc w:val="both"/>
        <w:rPr>
          <w:rFonts w:eastAsia="Calibri" w:cs="Times New Roman"/>
          <w:b/>
          <w:sz w:val="36"/>
          <w:szCs w:val="24"/>
          <w:lang w:val="es-ES"/>
        </w:rPr>
      </w:pPr>
      <w:r w:rsidRPr="005F7615">
        <w:rPr>
          <w:rFonts w:eastAsia="Calibri" w:cs="Times New Roman"/>
          <w:b/>
          <w:sz w:val="36"/>
          <w:szCs w:val="24"/>
          <w:lang w:val="es-ES"/>
        </w:rPr>
        <w:tab/>
      </w:r>
    </w:p>
    <w:p w14:paraId="29803F50"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3809B88E"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67F9E6EA"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791C9C36"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59A1B176"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2B21E0CC"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4DB9BF49"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69EC30CE"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25192E26"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520C1D14" w14:textId="77777777" w:rsidR="005F7615" w:rsidRPr="00EE0155" w:rsidRDefault="005F7615" w:rsidP="005F7615">
      <w:pPr>
        <w:spacing w:before="100" w:beforeAutospacing="1" w:after="100" w:afterAutospacing="1" w:line="276" w:lineRule="auto"/>
        <w:rPr>
          <w:rFonts w:eastAsia="Calibri" w:cs="Times New Roman"/>
          <w:b/>
          <w:szCs w:val="24"/>
          <w:lang w:val="es-ES"/>
        </w:rPr>
      </w:pPr>
    </w:p>
    <w:p w14:paraId="53205C6A"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INTRODUCCIÓN</w:t>
      </w:r>
    </w:p>
    <w:p w14:paraId="1B8635FD"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El Instituto Nacional de Donación y Trasplante de Órganos, Tejidos y Células (INDOT) tiene por misión ejecutar las políticas públicas de donación y trasplante de órganos, tejidos y células, mediante la regulación, coordinación, control, promoción, vigilancia y evaluación de la actividad de donación y trasplantes, articulando al Sistema Nacional Integrado de Donación y Trasplantes.</w:t>
      </w:r>
    </w:p>
    <w:p w14:paraId="06D1D878"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Uno de los ejes de competencia del INDOT a través de la Dirección Técnica de Provisión y Logística</w:t>
      </w:r>
      <w:r>
        <w:rPr>
          <w:rFonts w:eastAsia="Times New Roman" w:cs="Times New Roman"/>
          <w:szCs w:val="24"/>
          <w:lang w:eastAsia="es-EC"/>
        </w:rPr>
        <w:t xml:space="preserve">, conforme las atribuciones dispuestas en el artículo 13.3 del Estatuto Orgánico de Gestión Organizacional por Procesos del INDOT, </w:t>
      </w:r>
      <w:r w:rsidRPr="00EE0155">
        <w:rPr>
          <w:rFonts w:eastAsia="Times New Roman" w:cs="Times New Roman"/>
          <w:szCs w:val="24"/>
          <w:lang w:eastAsia="es-EC"/>
        </w:rPr>
        <w:t xml:space="preserve"> es la coordinación y operatividad logística del proceso de donación y trasplante,  por lo que impulsa el fortalecimiento de la organización de un sistema de desplazamiento y transporte ágil de donantes, receptores, equipos técnicos de ablación y trasplante, e insumo que sean necesarios para el desarrollo de la actividad trasplantológica, sustentados en un sistema informático integrado, para la distribución y asignación de órganos, tejidos y células en el marco de criterios técnicos que se encuentren fundamentados en principios de justicia y equidad.</w:t>
      </w:r>
    </w:p>
    <w:p w14:paraId="3B6A37DB" w14:textId="77777777" w:rsidR="005F7615" w:rsidRPr="00EE0155" w:rsidRDefault="005F7615" w:rsidP="005F7615">
      <w:pPr>
        <w:spacing w:line="276" w:lineRule="auto"/>
        <w:jc w:val="both"/>
        <w:rPr>
          <w:rFonts w:eastAsia="Times New Roman" w:cs="Times New Roman"/>
          <w:szCs w:val="24"/>
          <w:lang w:eastAsia="es-EC"/>
        </w:rPr>
      </w:pPr>
      <w:r w:rsidRPr="00EE0155">
        <w:rPr>
          <w:rFonts w:eastAsia="Times New Roman" w:cs="Times New Roman"/>
          <w:szCs w:val="24"/>
          <w:lang w:eastAsia="es-EC"/>
        </w:rPr>
        <w:t>La actividad trasplantológica en nuestro país, pone en marcha un despliegue técnico, operativo y logístico con diferentes equipos de profesionales que tienen que actuar en pocas horas, con gran celeridad y en perfecta sincronización, para alcanzar el objetivo de brindar una nueva oportunidad a la persona que lo necesita.  Esta actividad se concreta en dos procesos: proceso de donación y proceso de trasplante, el primero aplicado al donante y el segundo aplicado al receptor.</w:t>
      </w:r>
    </w:p>
    <w:p w14:paraId="74ED923D"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El proceso de donación y trasplante se inicia con la evaluación del donante, posteriormente la realización de las pruebas serológicas, mismas que al ser negativas se solicita en el donante la tipificación del HLA; a continuación se seleccionan a varios pacientes de acuerdo a las prioridades establecidas por criterios técnicos y médicos para la realización de otras pruebas como es el Crossmatch que establece el riesgo de rechazo agudo entre el donante y los posibles receptores; si el resultado es negativo se asignará el riñón respetando el orden de prioridad. Dichas pruebas se realizan únicamente en los laboratorios acreditados o re acreditados por el INDOT.</w:t>
      </w:r>
    </w:p>
    <w:p w14:paraId="59102B84"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lastRenderedPageBreak/>
        <w:t xml:space="preserve">Durante el proceso, por razones de contraindicación médica, parada cardíaca del donante, condiciones del receptor, entre otros, puede suspenderse el operativo en cualquier fase del mismo, resultando una procuración fallida. </w:t>
      </w:r>
    </w:p>
    <w:p w14:paraId="389AC828" w14:textId="01CE35AC"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4B3448">
        <w:rPr>
          <w:rFonts w:eastAsia="Times New Roman" w:cs="Times New Roman"/>
          <w:szCs w:val="24"/>
          <w:lang w:eastAsia="es-EC"/>
        </w:rPr>
        <w:t xml:space="preserve">En este contexto; y, cumpliendo con los preceptos contenidos en: la Ley Orgánica de Donación y Trasplantes de Órganos, Tejidos y Células, su Reglamento General; la Norma Técnica Sustitutiva de Relacionamiento para la Prestación de Servicios de Salud entre Instituciones de la Red Pública Integral de Salud y de la Red Privada Complementaria; Tarifario Nacional </w:t>
      </w:r>
      <w:r>
        <w:rPr>
          <w:rFonts w:eastAsia="Times New Roman" w:cs="Times New Roman"/>
          <w:szCs w:val="24"/>
          <w:lang w:eastAsia="es-EC"/>
        </w:rPr>
        <w:t>y demás normativa de la materia</w:t>
      </w:r>
      <w:r w:rsidRPr="005250C0">
        <w:rPr>
          <w:rFonts w:eastAsia="Times New Roman" w:cs="Times New Roman"/>
          <w:szCs w:val="24"/>
          <w:lang w:eastAsia="es-EC"/>
        </w:rPr>
        <w:t>,  el presente instructivo establece el mecanismo para el pago de procuraciones fallidas, que el INDOT tiene la responsabilidad de financiar.</w:t>
      </w:r>
    </w:p>
    <w:p w14:paraId="3FB5C4EB"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ANTECEDENTES</w:t>
      </w:r>
    </w:p>
    <w:p w14:paraId="3B504D9A"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La actividad trasplantológica en el Ecuador ha evolucionado durante los últimos años, gracias a las políticas públicas que garantizan la salud de los ecuatorianos, a los establecimientos de salud que participan en el proceso de donación y trasplante, a las instituciones de apoyo logístico y operativo y fundamentalmente a la solidaridad de todos los ecuatorianos.</w:t>
      </w:r>
    </w:p>
    <w:p w14:paraId="12BDEBCF"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La Ley Orgánica de Donación y Trasplante de Órganos, Tejidos y Células –LODTOTC- establece en su artículo 1 que “garantiza el derecho a la salud en materia de trasplantes, a través de la regulación de las actividades relacionadas con la obtención y utilización clínica de órganos, tejidos y células de humanos, además de los productos derivados de ellos, incluyendo la promoción, donación, extracción, preparación, almacenamiento, transporte, distribución y trasplante”.</w:t>
      </w:r>
    </w:p>
    <w:p w14:paraId="1B0C1607" w14:textId="77777777" w:rsidR="005F7615" w:rsidRPr="00EE0155" w:rsidRDefault="005F7615" w:rsidP="005F7615">
      <w:pPr>
        <w:autoSpaceDE w:val="0"/>
        <w:autoSpaceDN w:val="0"/>
        <w:adjustRightInd w:val="0"/>
        <w:jc w:val="both"/>
        <w:rPr>
          <w:rFonts w:eastAsia="Times New Roman" w:cs="Times New Roman"/>
          <w:szCs w:val="24"/>
          <w:lang w:eastAsia="es-EC"/>
        </w:rPr>
      </w:pPr>
      <w:r w:rsidRPr="00EE0155">
        <w:rPr>
          <w:rFonts w:eastAsia="Times New Roman" w:cs="Times New Roman"/>
          <w:szCs w:val="24"/>
          <w:lang w:eastAsia="es-EC"/>
        </w:rPr>
        <w:t>De igual manera, crea el Sistema Nacional Integrado de Donación y Trasplantes el cual está conformado por hospitales e instituciones del Sistema Nacional de Salud, laboratorios clínicos generales de la red de salud y los laboratorios especiales de genética, bancos de tejidos, profesionales de salud, programas, políticas, recursos, sistema aeroportuario del país, función judicial y entidades de apoyo logístico y operativos como Policía Nacional, Fuerzas Armadas, entre otros, que se interrelacionan y participan de manera articulada para el desarrollo de la actividad trasplantológica en el país.</w:t>
      </w:r>
    </w:p>
    <w:p w14:paraId="39B5DC5E" w14:textId="77777777" w:rsidR="005F7615" w:rsidRPr="00EE0155" w:rsidRDefault="005F7615" w:rsidP="005F7615">
      <w:pPr>
        <w:autoSpaceDE w:val="0"/>
        <w:autoSpaceDN w:val="0"/>
        <w:adjustRightInd w:val="0"/>
        <w:jc w:val="both"/>
        <w:rPr>
          <w:rFonts w:cs="Times New Roman"/>
          <w:szCs w:val="24"/>
        </w:rPr>
      </w:pPr>
    </w:p>
    <w:p w14:paraId="10D3C31D" w14:textId="77777777" w:rsidR="005F7615" w:rsidRPr="00EE0155" w:rsidRDefault="005F7615" w:rsidP="005F7615">
      <w:pPr>
        <w:autoSpaceDE w:val="0"/>
        <w:autoSpaceDN w:val="0"/>
        <w:adjustRightInd w:val="0"/>
        <w:jc w:val="both"/>
        <w:rPr>
          <w:rFonts w:cs="Times New Roman"/>
          <w:szCs w:val="24"/>
        </w:rPr>
      </w:pPr>
      <w:r w:rsidRPr="00EE0155">
        <w:rPr>
          <w:rFonts w:eastAsia="Times New Roman" w:cs="Times New Roman"/>
          <w:szCs w:val="24"/>
          <w:lang w:eastAsia="es-EC"/>
        </w:rPr>
        <w:t>La Norma Técnica Sustitutiva de Relacionamiento para la Prestación de Servicios de Salud entre Instituciones de la Red Pública Integral de Salud y de la Red Privada Complementaria aprobada mediante Acuerdo N° 0091 – 2017, en su artículo 12 de la Prelación de la derivación, indica que</w:t>
      </w:r>
      <w:r w:rsidRPr="00EE0155">
        <w:rPr>
          <w:rFonts w:cs="Times New Roman"/>
          <w:szCs w:val="24"/>
        </w:rPr>
        <w:t xml:space="preserve"> </w:t>
      </w:r>
      <w:r w:rsidRPr="00EE0155">
        <w:rPr>
          <w:rFonts w:cs="Times New Roman"/>
          <w:i/>
          <w:szCs w:val="24"/>
        </w:rPr>
        <w:t xml:space="preserve">“La derivación de usuarios/pacientes se realizará entre los establecimientos de salud de la Red Pública Integral de Salud; y, únicamente en el caso de no contar con disponibilidad, se procederá a derivar a los </w:t>
      </w:r>
      <w:r w:rsidRPr="00EE0155">
        <w:rPr>
          <w:rFonts w:cs="Times New Roman"/>
          <w:i/>
          <w:szCs w:val="24"/>
        </w:rPr>
        <w:lastRenderedPageBreak/>
        <w:t xml:space="preserve">usuarios/pacientes a la Red Privada Complementaria”.  Sin embargo, en el artículo 14 se establece que la derivación se realizará tomando en cuenta, entre otros factores, las condiciones de accesibilidad geográfica.  </w:t>
      </w:r>
      <w:r w:rsidRPr="00EE0155">
        <w:rPr>
          <w:rFonts w:cs="Times New Roman"/>
          <w:szCs w:val="24"/>
        </w:rPr>
        <w:t xml:space="preserve"> </w:t>
      </w:r>
    </w:p>
    <w:p w14:paraId="26F0F585" w14:textId="77777777" w:rsidR="005F7615" w:rsidRPr="00EE0155" w:rsidRDefault="005F7615" w:rsidP="005F7615">
      <w:pPr>
        <w:spacing w:before="100" w:beforeAutospacing="1" w:after="100" w:afterAutospacing="1" w:line="276" w:lineRule="auto"/>
        <w:jc w:val="both"/>
        <w:rPr>
          <w:rFonts w:cs="Times New Roman"/>
          <w:szCs w:val="24"/>
        </w:rPr>
      </w:pPr>
      <w:r w:rsidRPr="00EE0155">
        <w:rPr>
          <w:rFonts w:cs="Times New Roman"/>
          <w:szCs w:val="24"/>
        </w:rPr>
        <w:t>El parágrafo 5to, de la Derivación de Pacientes para Trasplantes, artículo 28 establece “</w:t>
      </w:r>
      <w:r w:rsidRPr="00EE0155">
        <w:rPr>
          <w:rFonts w:cs="Times New Roman"/>
          <w:i/>
          <w:iCs/>
          <w:szCs w:val="24"/>
        </w:rPr>
        <w:t>La derivación en este caso estará sujeta a la capacidad resolutiva del establecimiento de salud y a la acreditación otorgada al establecimiento de salud, por el Instituto Nacional de Donación y Trasplante de Órganos, Tejidos y Células – INDOT.</w:t>
      </w:r>
      <w:r w:rsidRPr="00EE0155">
        <w:rPr>
          <w:rFonts w:cs="Times New Roman"/>
          <w:szCs w:val="24"/>
        </w:rPr>
        <w:t>”</w:t>
      </w:r>
    </w:p>
    <w:p w14:paraId="0507BBD2"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 xml:space="preserve">El numeral 6 del artículo 29 de la Norma Técnica Sustitutiva de Relacionamiento para la Prestación de Servicios de Salud entre instituciones de la Red Pública Integral de Salud y de la Red Privada Complementaria, y su reconocimiento económico, determina </w:t>
      </w:r>
      <w:r w:rsidRPr="00EE0155">
        <w:rPr>
          <w:rFonts w:eastAsia="Times New Roman" w:cs="Times New Roman"/>
          <w:i/>
          <w:iCs/>
          <w:szCs w:val="24"/>
          <w:lang w:eastAsia="es-EC"/>
        </w:rPr>
        <w:t>“El INDOT es el responsable del pago del gasto generado por las procuraciones fallidas …., independientemente del subsistema al que pertenezca el paciente”</w:t>
      </w:r>
      <w:r w:rsidRPr="00EE0155">
        <w:rPr>
          <w:rFonts w:eastAsia="Times New Roman" w:cs="Times New Roman"/>
          <w:szCs w:val="24"/>
          <w:lang w:eastAsia="es-EC"/>
        </w:rPr>
        <w:t>.</w:t>
      </w:r>
    </w:p>
    <w:p w14:paraId="14BD2C3A" w14:textId="77777777" w:rsidR="005F7615" w:rsidRPr="00EE0155" w:rsidRDefault="005F7615" w:rsidP="005F7615">
      <w:pPr>
        <w:autoSpaceDE w:val="0"/>
        <w:autoSpaceDN w:val="0"/>
        <w:adjustRightInd w:val="0"/>
        <w:jc w:val="both"/>
        <w:rPr>
          <w:rFonts w:cs="Times New Roman"/>
          <w:i/>
          <w:iCs/>
          <w:szCs w:val="24"/>
        </w:rPr>
      </w:pPr>
      <w:r w:rsidRPr="00EE0155">
        <w:rPr>
          <w:rFonts w:cs="Times New Roman"/>
          <w:szCs w:val="24"/>
        </w:rPr>
        <w:t xml:space="preserve">De igual manera en la </w:t>
      </w:r>
      <w:r w:rsidRPr="00EE0155">
        <w:rPr>
          <w:rFonts w:cs="Times New Roman"/>
          <w:i/>
          <w:iCs/>
          <w:szCs w:val="24"/>
        </w:rPr>
        <w:t>Sección 3 De los Casos de Derivación, su art. 17 indica: Código de validación.- Es el registro alfa numérico, emitido de forma física o electrónica por el financiador/asegurador, mediante el cual autoriza al establecimiento de la Red Privada Complementaria, la entrega de una prestación o servicio de salud a su beneficiario.</w:t>
      </w:r>
    </w:p>
    <w:p w14:paraId="385664BE" w14:textId="77777777" w:rsidR="005F7615" w:rsidRPr="00EE0155" w:rsidRDefault="005F7615" w:rsidP="005F7615">
      <w:pPr>
        <w:autoSpaceDE w:val="0"/>
        <w:autoSpaceDN w:val="0"/>
        <w:adjustRightInd w:val="0"/>
        <w:jc w:val="both"/>
        <w:rPr>
          <w:rFonts w:cs="Times New Roman"/>
          <w:i/>
          <w:iCs/>
          <w:szCs w:val="24"/>
        </w:rPr>
      </w:pPr>
    </w:p>
    <w:p w14:paraId="6563A549" w14:textId="77777777" w:rsidR="005F7615" w:rsidRPr="00EE0155" w:rsidRDefault="005F7615" w:rsidP="005F7615">
      <w:pPr>
        <w:autoSpaceDE w:val="0"/>
        <w:autoSpaceDN w:val="0"/>
        <w:adjustRightInd w:val="0"/>
        <w:jc w:val="both"/>
        <w:rPr>
          <w:rFonts w:cs="Times New Roman"/>
          <w:i/>
          <w:iCs/>
          <w:szCs w:val="24"/>
        </w:rPr>
      </w:pPr>
      <w:r w:rsidRPr="00EE0155">
        <w:rPr>
          <w:rFonts w:cs="Times New Roman"/>
          <w:i/>
          <w:iCs/>
          <w:szCs w:val="24"/>
        </w:rPr>
        <w:t xml:space="preserve">“La gestión del código de validación es de responsabilidad del prestador y del financiador/asegurador </w:t>
      </w:r>
      <w:r>
        <w:rPr>
          <w:rFonts w:cs="Times New Roman"/>
          <w:i/>
          <w:iCs/>
          <w:szCs w:val="24"/>
        </w:rPr>
        <w:t>(</w:t>
      </w:r>
      <w:r w:rsidRPr="00EE0155">
        <w:rPr>
          <w:rFonts w:cs="Times New Roman"/>
          <w:i/>
          <w:iCs/>
          <w:szCs w:val="24"/>
        </w:rPr>
        <w:t>…</w:t>
      </w:r>
      <w:r>
        <w:rPr>
          <w:rFonts w:cs="Times New Roman"/>
          <w:i/>
          <w:iCs/>
          <w:szCs w:val="24"/>
        </w:rPr>
        <w:t>)</w:t>
      </w:r>
      <w:r w:rsidRPr="00EE0155">
        <w:rPr>
          <w:rFonts w:cs="Times New Roman"/>
          <w:i/>
          <w:iCs/>
          <w:szCs w:val="24"/>
        </w:rPr>
        <w:t>”</w:t>
      </w:r>
    </w:p>
    <w:p w14:paraId="3AC8E0AC" w14:textId="77777777" w:rsidR="005F7615" w:rsidRDefault="005F7615" w:rsidP="005F7615">
      <w:pPr>
        <w:spacing w:before="100" w:beforeAutospacing="1" w:after="100" w:afterAutospacing="1" w:line="276" w:lineRule="auto"/>
        <w:jc w:val="both"/>
        <w:rPr>
          <w:rFonts w:eastAsia="Times New Roman" w:cs="Times New Roman"/>
          <w:noProof/>
          <w:szCs w:val="24"/>
          <w:lang w:eastAsia="es-EC"/>
        </w:rPr>
      </w:pPr>
      <w:r w:rsidRPr="00EE0155">
        <w:rPr>
          <w:rFonts w:eastAsia="Times New Roman" w:cs="Times New Roman"/>
          <w:noProof/>
          <w:szCs w:val="24"/>
          <w:lang w:eastAsia="es-EC"/>
        </w:rPr>
        <w:t xml:space="preserve">Para el pago de prestaciones en el Sistema Nacional de Salud, se considerará el Tarifario de </w:t>
      </w:r>
      <w:r w:rsidRPr="00EE0155">
        <w:rPr>
          <w:rFonts w:cs="Times New Roman"/>
          <w:szCs w:val="24"/>
          <w:lang w:val="es-ES"/>
        </w:rPr>
        <w:t xml:space="preserve">Prestaciones </w:t>
      </w:r>
      <w:r w:rsidRPr="00EE0155">
        <w:rPr>
          <w:rFonts w:eastAsia="Times New Roman" w:cs="Times New Roman"/>
          <w:noProof/>
          <w:szCs w:val="24"/>
          <w:lang w:eastAsia="es-EC"/>
        </w:rPr>
        <w:t>del Sistema Nacional de Salud vigente.</w:t>
      </w:r>
    </w:p>
    <w:p w14:paraId="476009B0" w14:textId="77777777" w:rsidR="005F7615" w:rsidRPr="00EE0155" w:rsidRDefault="005F7615" w:rsidP="005F7615">
      <w:pPr>
        <w:spacing w:before="100" w:beforeAutospacing="1" w:after="100" w:afterAutospacing="1" w:line="276" w:lineRule="auto"/>
        <w:jc w:val="both"/>
        <w:rPr>
          <w:rFonts w:eastAsia="Times New Roman" w:cs="Times New Roman"/>
          <w:noProof/>
          <w:szCs w:val="24"/>
          <w:lang w:eastAsia="es-EC"/>
        </w:rPr>
      </w:pPr>
      <w:r w:rsidRPr="00EE0155">
        <w:rPr>
          <w:rFonts w:eastAsia="Times New Roman" w:cs="Times New Roman"/>
          <w:noProof/>
          <w:szCs w:val="24"/>
          <w:lang w:eastAsia="es-EC"/>
        </w:rPr>
        <w:t>Con oficio INDOT-INDOT-2017-0751-O de 20 de julio de 2017, el Director Ejecutivo del INDOT solicita a la Ministra de Salud Pública, determine bajo que parámetros se calcularía p</w:t>
      </w:r>
      <w:r>
        <w:rPr>
          <w:rFonts w:eastAsia="Times New Roman" w:cs="Times New Roman"/>
          <w:noProof/>
          <w:szCs w:val="24"/>
          <w:lang w:eastAsia="es-EC"/>
        </w:rPr>
        <w:t>ara el pago de las prestaciones.</w:t>
      </w:r>
    </w:p>
    <w:p w14:paraId="4A6091A8" w14:textId="77777777" w:rsidR="005F7615" w:rsidRDefault="005F7615" w:rsidP="005F7615">
      <w:pPr>
        <w:spacing w:before="100" w:beforeAutospacing="1" w:after="100" w:afterAutospacing="1" w:line="276" w:lineRule="auto"/>
        <w:jc w:val="both"/>
        <w:rPr>
          <w:rFonts w:eastAsia="Times New Roman" w:cs="Times New Roman"/>
          <w:noProof/>
          <w:szCs w:val="24"/>
          <w:lang w:eastAsia="es-EC"/>
        </w:rPr>
      </w:pPr>
      <w:r w:rsidRPr="00EE0155">
        <w:rPr>
          <w:rFonts w:eastAsia="Times New Roman" w:cs="Times New Roman"/>
          <w:noProof/>
          <w:szCs w:val="24"/>
          <w:lang w:eastAsia="es-EC"/>
        </w:rPr>
        <w:t>Con oficio MSP-2017-1992-O de 05 de septiembre de 2017, la señora Ministra de Salud Dra. María Verónica Espinosa Serrano, en la parte pertinente señala que “se utilizará los valores que se establecen en el informe técnico AJUSTES DISTRIBUCIÓN DE RECONOCIMIENTO ECONÓMICA para las pruebas de histocompatibilidad en trasplantes elaborado polr la Dra. Nilda Villacrés, como experta en el manejo del Tarifario de Prestaciones del Sistema Nacional de Salud y aprobado por la Subsecretaría Nacional de Gobernanza de la Salud Pública; de fecha 01 de marzo de 2017, que se reafirma en el oficio N° CONASA-DE-2017-0178-OF de fecha 22 de agosto de 2017.</w:t>
      </w:r>
    </w:p>
    <w:p w14:paraId="75C0C95F"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OBJETIVO GENERAL</w:t>
      </w:r>
    </w:p>
    <w:p w14:paraId="7FFA3E90" w14:textId="77777777" w:rsidR="005F7615" w:rsidRDefault="005F7615" w:rsidP="005F7615">
      <w:pPr>
        <w:pStyle w:val="Normal2"/>
        <w:rPr>
          <w:rFonts w:ascii="Times New Roman" w:hAnsi="Times New Roman"/>
          <w:sz w:val="24"/>
          <w:szCs w:val="24"/>
          <w:lang w:eastAsia="es-EC"/>
        </w:rPr>
      </w:pPr>
      <w:r w:rsidRPr="00EE0155">
        <w:rPr>
          <w:rFonts w:ascii="Times New Roman" w:eastAsia="Calibri" w:hAnsi="Times New Roman"/>
          <w:color w:val="auto"/>
          <w:sz w:val="24"/>
          <w:szCs w:val="24"/>
          <w:lang w:eastAsia="en-US"/>
        </w:rPr>
        <w:lastRenderedPageBreak/>
        <w:t xml:space="preserve">Establecer el procedimiento </w:t>
      </w:r>
      <w:r>
        <w:rPr>
          <w:rFonts w:ascii="Times New Roman" w:eastAsia="Calibri" w:hAnsi="Times New Roman"/>
          <w:color w:val="auto"/>
          <w:sz w:val="24"/>
          <w:szCs w:val="24"/>
          <w:lang w:eastAsia="en-US"/>
        </w:rPr>
        <w:t xml:space="preserve">técnico – administrativo, </w:t>
      </w:r>
      <w:r w:rsidRPr="00EE0155">
        <w:rPr>
          <w:rFonts w:ascii="Times New Roman" w:eastAsia="Calibri" w:hAnsi="Times New Roman"/>
          <w:color w:val="auto"/>
          <w:sz w:val="24"/>
          <w:szCs w:val="24"/>
          <w:lang w:eastAsia="en-US"/>
        </w:rPr>
        <w:t xml:space="preserve">para el pago de procuraciones fallidas producidas en los operativos de donación y trasplante, </w:t>
      </w:r>
      <w:r>
        <w:rPr>
          <w:rFonts w:ascii="Times New Roman" w:eastAsia="Calibri" w:hAnsi="Times New Roman"/>
          <w:color w:val="auto"/>
          <w:sz w:val="24"/>
          <w:szCs w:val="24"/>
          <w:lang w:eastAsia="en-US"/>
        </w:rPr>
        <w:t xml:space="preserve">conforme las competencias exclusivas otorgadas por la </w:t>
      </w:r>
      <w:r w:rsidRPr="004B3448">
        <w:rPr>
          <w:rFonts w:ascii="Times New Roman" w:hAnsi="Times New Roman"/>
          <w:sz w:val="24"/>
          <w:szCs w:val="24"/>
          <w:lang w:eastAsia="es-EC"/>
        </w:rPr>
        <w:t>Norma Técnica Sustitutiva de Relacionamiento para la Prestación de Servicios de Salud entre Instituciones de la Red Pública Integral de Salud y de la Red Privada Complementaria</w:t>
      </w:r>
      <w:r>
        <w:rPr>
          <w:rFonts w:ascii="Times New Roman" w:hAnsi="Times New Roman"/>
          <w:sz w:val="24"/>
          <w:szCs w:val="24"/>
          <w:lang w:eastAsia="es-EC"/>
        </w:rPr>
        <w:t>.</w:t>
      </w:r>
    </w:p>
    <w:p w14:paraId="3E3F20A9"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ALCANCE</w:t>
      </w:r>
    </w:p>
    <w:p w14:paraId="16D4C119"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El presente instructivo es de aplicación obligatoria para:</w:t>
      </w:r>
    </w:p>
    <w:p w14:paraId="7B009D6B" w14:textId="77777777" w:rsidR="005F7615" w:rsidRPr="00EE0155" w:rsidRDefault="005F7615" w:rsidP="005F7615">
      <w:pPr>
        <w:pStyle w:val="Prrafodelista"/>
        <w:numPr>
          <w:ilvl w:val="0"/>
          <w:numId w:val="3"/>
        </w:numPr>
        <w:spacing w:before="100" w:beforeAutospacing="1" w:after="100" w:afterAutospacing="1" w:line="276" w:lineRule="auto"/>
        <w:ind w:left="426" w:hanging="284"/>
        <w:jc w:val="both"/>
        <w:rPr>
          <w:rFonts w:eastAsia="Times New Roman" w:cs="Times New Roman"/>
          <w:szCs w:val="24"/>
          <w:lang w:eastAsia="es-EC"/>
        </w:rPr>
      </w:pPr>
      <w:r w:rsidRPr="00EE0155">
        <w:rPr>
          <w:rFonts w:eastAsia="Times New Roman" w:cs="Times New Roman"/>
          <w:szCs w:val="24"/>
          <w:lang w:eastAsia="es-EC"/>
        </w:rPr>
        <w:t>Servidores públicos del Instituto Nacional de Donación y Trasplante de Órganos, Tejidos y Células (INDOT), involucrados en el</w:t>
      </w:r>
      <w:r>
        <w:rPr>
          <w:rFonts w:eastAsia="Times New Roman" w:cs="Times New Roman"/>
          <w:szCs w:val="24"/>
          <w:lang w:eastAsia="es-EC"/>
        </w:rPr>
        <w:t xml:space="preserve"> presente</w:t>
      </w:r>
      <w:r w:rsidRPr="00EE0155">
        <w:rPr>
          <w:rFonts w:eastAsia="Times New Roman" w:cs="Times New Roman"/>
          <w:szCs w:val="24"/>
          <w:lang w:eastAsia="es-EC"/>
        </w:rPr>
        <w:t xml:space="preserve"> proceso de </w:t>
      </w:r>
      <w:r>
        <w:rPr>
          <w:rFonts w:eastAsia="Times New Roman" w:cs="Times New Roman"/>
          <w:szCs w:val="24"/>
          <w:lang w:eastAsia="es-EC"/>
        </w:rPr>
        <w:t>pago de las procuraciones fallidas.</w:t>
      </w:r>
    </w:p>
    <w:p w14:paraId="61A3FAB2" w14:textId="77777777" w:rsidR="005F7615" w:rsidRPr="00EE0155" w:rsidRDefault="005F7615" w:rsidP="005F7615">
      <w:pPr>
        <w:pStyle w:val="Prrafodelista"/>
        <w:numPr>
          <w:ilvl w:val="0"/>
          <w:numId w:val="3"/>
        </w:numPr>
        <w:spacing w:before="100" w:beforeAutospacing="1" w:after="100" w:afterAutospacing="1" w:line="276" w:lineRule="auto"/>
        <w:ind w:left="426" w:hanging="284"/>
        <w:jc w:val="both"/>
        <w:rPr>
          <w:rFonts w:eastAsia="Times New Roman" w:cs="Times New Roman"/>
          <w:szCs w:val="24"/>
          <w:lang w:eastAsia="es-EC"/>
        </w:rPr>
      </w:pPr>
      <w:r w:rsidRPr="00EE0155">
        <w:rPr>
          <w:rFonts w:eastAsia="Times New Roman" w:cs="Times New Roman"/>
          <w:szCs w:val="24"/>
          <w:lang w:eastAsia="es-EC"/>
        </w:rPr>
        <w:t>Prestadores de servicios de apoyo acreditados para la realización de pruebas de histocompatibilidad e inmunogenética.</w:t>
      </w:r>
    </w:p>
    <w:p w14:paraId="165D96C7"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DEFINICIONES Y CONCEPTOS</w:t>
      </w:r>
    </w:p>
    <w:p w14:paraId="1F6E18C0" w14:textId="77777777" w:rsidR="005F7615" w:rsidRPr="00EE0155" w:rsidRDefault="005F7615" w:rsidP="005F7615">
      <w:pPr>
        <w:spacing w:before="100" w:beforeAutospacing="1" w:after="100" w:afterAutospacing="1" w:line="276" w:lineRule="auto"/>
        <w:jc w:val="both"/>
        <w:rPr>
          <w:rFonts w:eastAsia="Times New Roman" w:cs="Times New Roman"/>
          <w:szCs w:val="24"/>
          <w:lang w:eastAsia="es-EC"/>
        </w:rPr>
      </w:pPr>
      <w:r w:rsidRPr="00EE0155">
        <w:rPr>
          <w:rFonts w:eastAsia="Times New Roman" w:cs="Times New Roman"/>
          <w:szCs w:val="24"/>
          <w:lang w:eastAsia="es-EC"/>
        </w:rPr>
        <w:t>Para efectos de este Instructivo, se entiende por:</w:t>
      </w:r>
    </w:p>
    <w:p w14:paraId="5DB84A07" w14:textId="77777777" w:rsidR="005F7615" w:rsidRPr="00EE0155" w:rsidRDefault="005F7615" w:rsidP="005F7615">
      <w:pPr>
        <w:spacing w:line="256" w:lineRule="auto"/>
        <w:jc w:val="both"/>
        <w:rPr>
          <w:rFonts w:eastAsia="Calibri" w:cs="Times New Roman"/>
          <w:szCs w:val="24"/>
        </w:rPr>
      </w:pPr>
      <w:r w:rsidRPr="00EE0155">
        <w:rPr>
          <w:rFonts w:cs="Times New Roman"/>
          <w:b/>
          <w:i/>
          <w:szCs w:val="24"/>
        </w:rPr>
        <w:t>Donante</w:t>
      </w:r>
      <w:r w:rsidRPr="00EE0155">
        <w:rPr>
          <w:rFonts w:cs="Times New Roman"/>
          <w:b/>
          <w:szCs w:val="24"/>
        </w:rPr>
        <w:t xml:space="preserve"> </w:t>
      </w:r>
      <w:r w:rsidRPr="00EE0155">
        <w:rPr>
          <w:rFonts w:cs="Times New Roman"/>
          <w:b/>
          <w:i/>
          <w:szCs w:val="24"/>
        </w:rPr>
        <w:t>cadavérico</w:t>
      </w:r>
      <w:r w:rsidRPr="00EE0155">
        <w:rPr>
          <w:rFonts w:cs="Times New Roman"/>
          <w:b/>
          <w:szCs w:val="24"/>
        </w:rPr>
        <w:t>:</w:t>
      </w:r>
      <w:r w:rsidRPr="00EE0155">
        <w:rPr>
          <w:rFonts w:cs="Times New Roman"/>
          <w:szCs w:val="24"/>
        </w:rPr>
        <w:t xml:space="preserve"> Aquella persona fallecida, adulto o niño, de la que se extrae órganos y tejidos que no hubiera dejado constancia expresa de su oposición, tal como lo establece la Ley Orgánica de Donación y Trasplante de Órganos, Tejidos y Células.</w:t>
      </w:r>
    </w:p>
    <w:p w14:paraId="01FCC4F0" w14:textId="77777777" w:rsidR="005F7615" w:rsidRPr="00EE0155" w:rsidRDefault="005F7615" w:rsidP="005F7615">
      <w:pPr>
        <w:pStyle w:val="Prrafodelista"/>
        <w:ind w:left="284" w:hanging="284"/>
        <w:rPr>
          <w:rFonts w:cs="Times New Roman"/>
          <w:b/>
          <w:i/>
          <w:color w:val="000000" w:themeColor="text1"/>
          <w:szCs w:val="24"/>
        </w:rPr>
      </w:pPr>
    </w:p>
    <w:p w14:paraId="591BEF39" w14:textId="77777777" w:rsidR="005F7615" w:rsidRPr="00EE0155" w:rsidRDefault="005F7615" w:rsidP="005F7615">
      <w:pPr>
        <w:spacing w:line="256" w:lineRule="auto"/>
        <w:jc w:val="both"/>
        <w:rPr>
          <w:rFonts w:cs="Times New Roman"/>
          <w:szCs w:val="24"/>
        </w:rPr>
      </w:pPr>
      <w:r w:rsidRPr="00EE0155">
        <w:rPr>
          <w:rFonts w:cs="Times New Roman"/>
          <w:b/>
          <w:i/>
          <w:color w:val="000000" w:themeColor="text1"/>
          <w:szCs w:val="24"/>
        </w:rPr>
        <w:t xml:space="preserve">Donante efectivo: </w:t>
      </w:r>
      <w:r w:rsidRPr="00EE0155">
        <w:rPr>
          <w:rFonts w:cs="Times New Roman"/>
          <w:color w:val="000000" w:themeColor="text1"/>
          <w:szCs w:val="24"/>
        </w:rPr>
        <w:t>Toda persona fallecida a la que se le ablaciona sus órganos y tejidos, y que se logra efectivamente el implante en un receptor.</w:t>
      </w:r>
    </w:p>
    <w:p w14:paraId="1FB534DA" w14:textId="77777777" w:rsidR="005F7615" w:rsidRPr="00EE0155" w:rsidRDefault="005F7615" w:rsidP="005F7615">
      <w:pPr>
        <w:pStyle w:val="Prrafodelista"/>
        <w:ind w:left="284" w:hanging="284"/>
        <w:rPr>
          <w:rFonts w:cs="Times New Roman"/>
          <w:b/>
          <w:i/>
          <w:color w:val="000000" w:themeColor="text1"/>
          <w:szCs w:val="24"/>
        </w:rPr>
      </w:pPr>
    </w:p>
    <w:p w14:paraId="05B96332" w14:textId="77777777" w:rsidR="005F7615" w:rsidRPr="00EE0155" w:rsidRDefault="005F7615" w:rsidP="005F7615">
      <w:pPr>
        <w:spacing w:line="256" w:lineRule="auto"/>
        <w:jc w:val="both"/>
        <w:rPr>
          <w:rFonts w:cs="Times New Roman"/>
          <w:szCs w:val="24"/>
        </w:rPr>
      </w:pPr>
      <w:r w:rsidRPr="00EE0155">
        <w:rPr>
          <w:rFonts w:cs="Times New Roman"/>
          <w:b/>
          <w:i/>
          <w:color w:val="000000" w:themeColor="text1"/>
          <w:szCs w:val="24"/>
        </w:rPr>
        <w:t xml:space="preserve">Donante real: </w:t>
      </w:r>
      <w:r w:rsidRPr="00EE0155">
        <w:rPr>
          <w:rFonts w:cs="Times New Roman"/>
          <w:color w:val="000000" w:themeColor="text1"/>
          <w:szCs w:val="24"/>
        </w:rPr>
        <w:t>Toda persona fallecida a la que se le ablaciona sus órganos y tejidos, sin llegar al trasplante.</w:t>
      </w:r>
    </w:p>
    <w:p w14:paraId="341F1A08"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cs="Times New Roman"/>
          <w:b/>
          <w:i/>
          <w:color w:val="000000" w:themeColor="text1"/>
          <w:szCs w:val="24"/>
        </w:rPr>
        <w:t>Operativo</w:t>
      </w:r>
      <w:r w:rsidRPr="00EE0155">
        <w:rPr>
          <w:rFonts w:cs="Times New Roman"/>
          <w:color w:val="000000" w:themeColor="text1"/>
          <w:szCs w:val="24"/>
        </w:rPr>
        <w:t xml:space="preserve">: Es un conjunto de procedimientos y acciones realizadas en tiempos determinados, para efectivizar el proceso de donación y trasplante. </w:t>
      </w:r>
    </w:p>
    <w:p w14:paraId="28366678" w14:textId="77777777" w:rsidR="005F7615" w:rsidRPr="00EE0155" w:rsidRDefault="005F7615" w:rsidP="005F7615">
      <w:pPr>
        <w:spacing w:before="100" w:beforeAutospacing="1" w:after="100" w:afterAutospacing="1" w:line="276" w:lineRule="auto"/>
        <w:jc w:val="both"/>
        <w:rPr>
          <w:rFonts w:cs="Times New Roman"/>
          <w:color w:val="000000" w:themeColor="text1"/>
          <w:szCs w:val="24"/>
        </w:rPr>
      </w:pPr>
      <w:r w:rsidRPr="00EE0155">
        <w:rPr>
          <w:rFonts w:cs="Times New Roman"/>
          <w:b/>
          <w:i/>
          <w:color w:val="000000" w:themeColor="text1"/>
          <w:szCs w:val="24"/>
        </w:rPr>
        <w:t>Potencial donante:</w:t>
      </w:r>
      <w:r w:rsidRPr="00EE0155">
        <w:rPr>
          <w:rFonts w:cs="Times New Roman"/>
          <w:color w:val="000000" w:themeColor="text1"/>
          <w:szCs w:val="24"/>
        </w:rPr>
        <w:t xml:space="preserve"> Toda persona que se encuentre en condiciones de ser donante de órganos y/o tejidos y que en vida no se haya pronunciado en contrario.</w:t>
      </w:r>
    </w:p>
    <w:p w14:paraId="4A05E0F6" w14:textId="77777777" w:rsidR="005F7615" w:rsidRPr="00EE0155" w:rsidRDefault="005F7615" w:rsidP="005F7615">
      <w:pPr>
        <w:autoSpaceDE w:val="0"/>
        <w:autoSpaceDN w:val="0"/>
        <w:adjustRightInd w:val="0"/>
        <w:jc w:val="both"/>
        <w:rPr>
          <w:rFonts w:cs="Times New Roman"/>
          <w:color w:val="000000" w:themeColor="text1"/>
          <w:szCs w:val="24"/>
        </w:rPr>
      </w:pPr>
      <w:r w:rsidRPr="00EE0155">
        <w:rPr>
          <w:rFonts w:cs="Times New Roman"/>
          <w:b/>
          <w:i/>
          <w:color w:val="000000" w:themeColor="text1"/>
          <w:szCs w:val="24"/>
        </w:rPr>
        <w:t xml:space="preserve">Procuración: </w:t>
      </w:r>
      <w:r w:rsidRPr="00EE0155">
        <w:rPr>
          <w:rFonts w:cs="Times New Roman"/>
          <w:color w:val="000000" w:themeColor="text1"/>
          <w:szCs w:val="24"/>
        </w:rPr>
        <w:t xml:space="preserve">Es el conjunto de actividades relacionadas con la detección, identificación, evaluación y mantenimiento de un potencial donante cadavérico; con el diagnóstico y certificación de muerte, obtención del consentimiento familiar o de procurador en el caso de niños, niñas y adolescentes o de personas que no pueden expresar su voluntad de acuerdo a la Ley; con la coordinación de los equipos de ablación, acondicionamiento y </w:t>
      </w:r>
      <w:r w:rsidRPr="00EE0155">
        <w:rPr>
          <w:rFonts w:cs="Times New Roman"/>
          <w:color w:val="000000" w:themeColor="text1"/>
          <w:szCs w:val="24"/>
        </w:rPr>
        <w:lastRenderedPageBreak/>
        <w:t>mantenimiento de los órganos, tejidos y células en condiciones de viabilidad para su implante; y, con la asignación, búsqueda y localización de receptores.</w:t>
      </w:r>
    </w:p>
    <w:p w14:paraId="5E940F43" w14:textId="77777777" w:rsidR="005F7615" w:rsidRPr="00EE0155" w:rsidRDefault="005F7615" w:rsidP="005F7615">
      <w:pPr>
        <w:autoSpaceDE w:val="0"/>
        <w:autoSpaceDN w:val="0"/>
        <w:adjustRightInd w:val="0"/>
        <w:jc w:val="both"/>
        <w:rPr>
          <w:rFonts w:cs="Times New Roman"/>
          <w:color w:val="000000" w:themeColor="text1"/>
          <w:szCs w:val="24"/>
        </w:rPr>
      </w:pPr>
    </w:p>
    <w:p w14:paraId="711A6BA2" w14:textId="77777777" w:rsidR="005F7615" w:rsidRPr="00EE0155" w:rsidRDefault="005F7615" w:rsidP="005F7615">
      <w:pPr>
        <w:spacing w:line="256" w:lineRule="auto"/>
        <w:jc w:val="both"/>
        <w:rPr>
          <w:rFonts w:cs="Times New Roman"/>
          <w:szCs w:val="24"/>
        </w:rPr>
      </w:pPr>
      <w:r w:rsidRPr="00EE0155">
        <w:rPr>
          <w:rFonts w:cs="Times New Roman"/>
          <w:b/>
          <w:i/>
          <w:color w:val="000000" w:themeColor="text1"/>
          <w:szCs w:val="24"/>
        </w:rPr>
        <w:t>Procuración fallida:</w:t>
      </w:r>
      <w:r w:rsidRPr="00EE0155">
        <w:rPr>
          <w:rFonts w:cs="Times New Roman"/>
          <w:szCs w:val="24"/>
        </w:rPr>
        <w:t xml:space="preserve"> proceso de evaluación del donante en el que se ha realizado las pruebas de exámenes de laboratorio, y que por diferentes circunstancias, dependientes del donante y/o receptor, no ha sido posible trasplantar al menos un órgano (riñón)</w:t>
      </w:r>
      <w:r w:rsidRPr="00EE0155">
        <w:rPr>
          <w:rStyle w:val="Refdenotaalpie"/>
          <w:rFonts w:cs="Times New Roman"/>
          <w:szCs w:val="24"/>
        </w:rPr>
        <w:footnoteReference w:id="1"/>
      </w:r>
    </w:p>
    <w:p w14:paraId="2048E238"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DESARROLLO</w:t>
      </w:r>
    </w:p>
    <w:p w14:paraId="271B46BA"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6.1 Pedido de exámenes de laboratorio durante el operativo de donación y trasplante</w:t>
      </w:r>
    </w:p>
    <w:p w14:paraId="5C7512E1" w14:textId="77777777" w:rsidR="005F761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 xml:space="preserve">El operativo de donación y trasplante al estar bajo la responsabilidad de la Coordinación Zonal </w:t>
      </w:r>
      <w:r>
        <w:rPr>
          <w:rFonts w:eastAsia="Calibri" w:cs="Times New Roman"/>
          <w:color w:val="000000" w:themeColor="text1"/>
          <w:szCs w:val="24"/>
          <w:lang w:val="es-ES"/>
        </w:rPr>
        <w:t xml:space="preserve">del </w:t>
      </w:r>
      <w:r w:rsidRPr="00EE0155">
        <w:rPr>
          <w:rFonts w:eastAsia="Calibri" w:cs="Times New Roman"/>
          <w:color w:val="000000" w:themeColor="text1"/>
          <w:szCs w:val="24"/>
          <w:lang w:val="es-ES"/>
        </w:rPr>
        <w:t>INDOT</w:t>
      </w:r>
      <w:r>
        <w:rPr>
          <w:rFonts w:eastAsia="Calibri" w:cs="Times New Roman"/>
          <w:color w:val="000000" w:themeColor="text1"/>
          <w:szCs w:val="24"/>
          <w:lang w:val="es-ES"/>
        </w:rPr>
        <w:t>,</w:t>
      </w:r>
      <w:r w:rsidRPr="00EE0155">
        <w:rPr>
          <w:rFonts w:eastAsia="Calibri" w:cs="Times New Roman"/>
          <w:color w:val="000000" w:themeColor="text1"/>
          <w:szCs w:val="24"/>
          <w:lang w:val="es-ES"/>
        </w:rPr>
        <w:t xml:space="preserve"> donde corresponde el establecimiento de salud que identifica el potencial donante, </w:t>
      </w:r>
      <w:r>
        <w:rPr>
          <w:rFonts w:eastAsia="Calibri" w:cs="Times New Roman"/>
          <w:color w:val="000000" w:themeColor="text1"/>
          <w:szCs w:val="24"/>
          <w:lang w:val="es-ES"/>
        </w:rPr>
        <w:t xml:space="preserve">será la responsable de realizar </w:t>
      </w:r>
      <w:r w:rsidRPr="00EE0155">
        <w:rPr>
          <w:rFonts w:eastAsia="Calibri" w:cs="Times New Roman"/>
          <w:color w:val="000000" w:themeColor="text1"/>
          <w:szCs w:val="24"/>
          <w:lang w:val="es-ES"/>
        </w:rPr>
        <w:t>el pedido de exámenes de laboratorio de histocompatibilidad e inmunogenética.</w:t>
      </w:r>
    </w:p>
    <w:p w14:paraId="12621C41"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 xml:space="preserve">Para el pedido de </w:t>
      </w:r>
      <w:r>
        <w:rPr>
          <w:rFonts w:eastAsia="Calibri" w:cs="Times New Roman"/>
          <w:color w:val="000000" w:themeColor="text1"/>
          <w:szCs w:val="24"/>
          <w:lang w:val="es-ES"/>
        </w:rPr>
        <w:t xml:space="preserve">estos </w:t>
      </w:r>
      <w:r w:rsidRPr="00EE0155">
        <w:rPr>
          <w:rFonts w:eastAsia="Calibri" w:cs="Times New Roman"/>
          <w:color w:val="000000" w:themeColor="text1"/>
          <w:szCs w:val="24"/>
          <w:lang w:val="es-ES"/>
        </w:rPr>
        <w:t>exámenes de laboratorio es necesario considerar la prelación para la derivación, considerando la condición de accesibilidad geográfica y la acreditación otorgada por el INDOT, establecidos en la Norma Sustitutiva de Relacionamiento.  El pedido se lo realizará a través de un correo electrónico dirigido al laboratorio de histocompatibilidad e inmunogenética acreditado o re acreditado por el INDOT y ubicado en el área geográfica cercana a donde se haya identificado el potencial donante, en razón de que los operativos se los coordina en tiempo real y en el menor tiempo posible, a cualquier hora, las 24 horas, los 365 días al año.</w:t>
      </w:r>
    </w:p>
    <w:p w14:paraId="58E2AD46"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El pedido de exámenes de laboratorio de histocompatibilidad se podrá realizar una vez que se obtengan los resultados de serología y se compruebe que no exista ninguna contraindicación médica.</w:t>
      </w:r>
    </w:p>
    <w:p w14:paraId="0B1E3119"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La Coordinación Zonal deberá mantener una comunicación permanente con el laboratorio al cual se le solicitó la realización de las pruebas de histocompatilibad e inmunogenética para receptar los resultados por la misma vía que se solicitó el examen.</w:t>
      </w:r>
    </w:p>
    <w:p w14:paraId="204E3751"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El personal técnico de turno de la Coordinación Zonal verificará que los resultados entregados por el laboratorio estén completos de acuerdo a los requerimientos solicitados.</w:t>
      </w:r>
    </w:p>
    <w:p w14:paraId="73ACF0D8"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6.2 Verificación de la información de pruebas realizadas de procuraciones fallidas</w:t>
      </w:r>
    </w:p>
    <w:p w14:paraId="4CA0872E"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lastRenderedPageBreak/>
        <w:t>Al final de cada mes la Coordinación Zonal donde se produjo la o las procuraciones fallidas verificará la información enviada por el laboratorio con sus registros de operativos desarrollados en el mes, para la validación respectiva y elaborará los Anexos 1 y 2 establecidos en la Norma Sustitutiva de Relacionamiento, los mismos que se enviarán firmados por la coordinación zonal responsable del operativo y autorizado por la Coordinación General Técnica, a la  Dirección Técnica de Provisión y Logística para la emisión manual de los códigos de validación.  La entrega de los anexos se realizará hasta los tres primeros días del siguiente mes.</w:t>
      </w:r>
    </w:p>
    <w:p w14:paraId="456EBB2A"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Por su parte, el laboratorio de histocompatibilidad e inmunogenética acreditado o re acreditado deberá enviar hasta los tres días del siguiente mes, el listado de pruebas de histocompatibilidad e inmunogenética realizadas del mes que concluye, y que deberá contener al menos la siguiente información:</w:t>
      </w:r>
    </w:p>
    <w:tbl>
      <w:tblPr>
        <w:tblStyle w:val="Tablaconcuadrcula"/>
        <w:tblW w:w="0" w:type="auto"/>
        <w:jc w:val="center"/>
        <w:tblLook w:val="04A0" w:firstRow="1" w:lastRow="0" w:firstColumn="1" w:lastColumn="0" w:noHBand="0" w:noVBand="1"/>
      </w:tblPr>
      <w:tblGrid>
        <w:gridCol w:w="486"/>
        <w:gridCol w:w="1056"/>
        <w:gridCol w:w="1670"/>
        <w:gridCol w:w="2180"/>
        <w:gridCol w:w="777"/>
        <w:gridCol w:w="1937"/>
      </w:tblGrid>
      <w:tr w:rsidR="005F7615" w:rsidRPr="00EE0155" w14:paraId="4DB0C3FF" w14:textId="77777777" w:rsidTr="00C827A6">
        <w:trPr>
          <w:trHeight w:val="600"/>
          <w:jc w:val="center"/>
        </w:trPr>
        <w:tc>
          <w:tcPr>
            <w:tcW w:w="463" w:type="dxa"/>
            <w:hideMark/>
          </w:tcPr>
          <w:p w14:paraId="440F10BA" w14:textId="77777777" w:rsidR="005F7615" w:rsidRPr="00EE0155" w:rsidRDefault="005F7615" w:rsidP="00C827A6">
            <w:pPr>
              <w:rPr>
                <w:rFonts w:eastAsia="Times New Roman" w:cs="Times New Roman"/>
                <w:b/>
                <w:bCs/>
                <w:szCs w:val="24"/>
                <w:lang w:eastAsia="es-EC"/>
              </w:rPr>
            </w:pPr>
            <w:r w:rsidRPr="00EE0155">
              <w:rPr>
                <w:rFonts w:eastAsia="Times New Roman" w:cs="Times New Roman"/>
                <w:b/>
                <w:bCs/>
                <w:szCs w:val="24"/>
                <w:lang w:eastAsia="es-EC"/>
              </w:rPr>
              <w:t>N°</w:t>
            </w:r>
          </w:p>
        </w:tc>
        <w:tc>
          <w:tcPr>
            <w:tcW w:w="992" w:type="dxa"/>
            <w:hideMark/>
          </w:tcPr>
          <w:p w14:paraId="11017A94" w14:textId="77777777" w:rsidR="005F7615" w:rsidRPr="00EE0155" w:rsidRDefault="005F7615" w:rsidP="00C827A6">
            <w:pPr>
              <w:rPr>
                <w:rFonts w:eastAsia="Times New Roman" w:cs="Times New Roman"/>
                <w:b/>
                <w:bCs/>
                <w:szCs w:val="24"/>
                <w:lang w:eastAsia="es-EC"/>
              </w:rPr>
            </w:pPr>
            <w:r w:rsidRPr="00EE0155">
              <w:rPr>
                <w:rFonts w:eastAsia="Times New Roman" w:cs="Times New Roman"/>
                <w:b/>
                <w:bCs/>
                <w:szCs w:val="24"/>
                <w:lang w:eastAsia="es-EC"/>
              </w:rPr>
              <w:t>FECHA</w:t>
            </w:r>
          </w:p>
        </w:tc>
        <w:tc>
          <w:tcPr>
            <w:tcW w:w="1622" w:type="dxa"/>
            <w:hideMark/>
          </w:tcPr>
          <w:p w14:paraId="00C82C6D" w14:textId="77777777" w:rsidR="005F7615" w:rsidRPr="00EE0155" w:rsidRDefault="005F7615" w:rsidP="00C827A6">
            <w:pPr>
              <w:rPr>
                <w:rFonts w:eastAsia="Times New Roman" w:cs="Times New Roman"/>
                <w:b/>
                <w:bCs/>
                <w:szCs w:val="24"/>
                <w:lang w:eastAsia="es-EC"/>
              </w:rPr>
            </w:pPr>
            <w:r w:rsidRPr="00EE0155">
              <w:rPr>
                <w:rFonts w:eastAsia="Times New Roman" w:cs="Times New Roman"/>
                <w:b/>
                <w:bCs/>
                <w:szCs w:val="24"/>
                <w:lang w:eastAsia="es-EC"/>
              </w:rPr>
              <w:t>CÓDIGO DEL OPERATIVO</w:t>
            </w:r>
          </w:p>
        </w:tc>
        <w:tc>
          <w:tcPr>
            <w:tcW w:w="2180" w:type="dxa"/>
            <w:hideMark/>
          </w:tcPr>
          <w:p w14:paraId="1A5D0EF7" w14:textId="77777777" w:rsidR="005F7615" w:rsidRPr="00EE0155" w:rsidRDefault="005F7615" w:rsidP="00C827A6">
            <w:pPr>
              <w:rPr>
                <w:rFonts w:eastAsia="Times New Roman" w:cs="Times New Roman"/>
                <w:b/>
                <w:bCs/>
                <w:szCs w:val="24"/>
                <w:lang w:eastAsia="es-EC"/>
              </w:rPr>
            </w:pPr>
            <w:r w:rsidRPr="00EE0155">
              <w:rPr>
                <w:rFonts w:eastAsia="Times New Roman" w:cs="Times New Roman"/>
                <w:b/>
                <w:bCs/>
                <w:szCs w:val="24"/>
                <w:lang w:eastAsia="es-EC"/>
              </w:rPr>
              <w:t>RECEPTORES A LOS QUE SE REALIZÓ LA PRUEBA</w:t>
            </w:r>
          </w:p>
        </w:tc>
        <w:tc>
          <w:tcPr>
            <w:tcW w:w="777" w:type="dxa"/>
            <w:hideMark/>
          </w:tcPr>
          <w:p w14:paraId="7F13EA80" w14:textId="77777777" w:rsidR="005F7615" w:rsidRPr="00EE0155" w:rsidRDefault="005F7615" w:rsidP="00C827A6">
            <w:pPr>
              <w:rPr>
                <w:rFonts w:eastAsia="Times New Roman" w:cs="Times New Roman"/>
                <w:b/>
                <w:bCs/>
                <w:szCs w:val="24"/>
                <w:lang w:eastAsia="es-EC"/>
              </w:rPr>
            </w:pPr>
            <w:r w:rsidRPr="00EE0155">
              <w:rPr>
                <w:rFonts w:eastAsia="Times New Roman" w:cs="Times New Roman"/>
                <w:b/>
                <w:bCs/>
                <w:szCs w:val="24"/>
                <w:lang w:eastAsia="es-EC"/>
              </w:rPr>
              <w:t>HLA</w:t>
            </w:r>
          </w:p>
        </w:tc>
        <w:tc>
          <w:tcPr>
            <w:tcW w:w="1507" w:type="dxa"/>
            <w:hideMark/>
          </w:tcPr>
          <w:p w14:paraId="3A1834DD" w14:textId="77777777" w:rsidR="005F7615" w:rsidRPr="00EE0155" w:rsidRDefault="005F7615" w:rsidP="00C827A6">
            <w:pPr>
              <w:rPr>
                <w:rFonts w:eastAsia="Times New Roman" w:cs="Times New Roman"/>
                <w:b/>
                <w:bCs/>
                <w:szCs w:val="24"/>
                <w:lang w:eastAsia="es-EC"/>
              </w:rPr>
            </w:pPr>
            <w:r w:rsidRPr="00EE0155">
              <w:rPr>
                <w:rFonts w:eastAsia="Times New Roman" w:cs="Times New Roman"/>
                <w:b/>
                <w:bCs/>
                <w:szCs w:val="24"/>
                <w:lang w:eastAsia="es-EC"/>
              </w:rPr>
              <w:t>CROSSMATCH</w:t>
            </w:r>
          </w:p>
        </w:tc>
      </w:tr>
    </w:tbl>
    <w:p w14:paraId="115BF2F1"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La Dirección Técnica de Provisión y Logística validará mensualmente la información recibida y creará la trazabilidad para la emisión manual de códigos de validación, que se lo realizará en el plazo de tres días laborables a partir de haber recibido el requerimiento por parte de las coordinaciones zonales</w:t>
      </w:r>
      <w:r>
        <w:rPr>
          <w:rFonts w:eastAsia="Calibri" w:cs="Times New Roman"/>
          <w:color w:val="000000" w:themeColor="text1"/>
          <w:szCs w:val="24"/>
          <w:lang w:val="es-ES"/>
        </w:rPr>
        <w:t xml:space="preserve"> y de haber recibido la información del laboratorio que realizó las pruebas</w:t>
      </w:r>
      <w:r w:rsidRPr="00EE0155">
        <w:rPr>
          <w:rFonts w:eastAsia="Calibri" w:cs="Times New Roman"/>
          <w:color w:val="000000" w:themeColor="text1"/>
          <w:szCs w:val="24"/>
          <w:lang w:val="es-ES"/>
        </w:rPr>
        <w:t>.</w:t>
      </w:r>
    </w:p>
    <w:p w14:paraId="0F83D135"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 xml:space="preserve">La Coordinación General Técnica del INDOT enviará al laboratorio que prestó </w:t>
      </w:r>
      <w:r>
        <w:rPr>
          <w:rFonts w:eastAsia="Calibri" w:cs="Times New Roman"/>
          <w:color w:val="000000" w:themeColor="text1"/>
          <w:szCs w:val="24"/>
          <w:lang w:val="es-ES"/>
        </w:rPr>
        <w:t xml:space="preserve">los </w:t>
      </w:r>
      <w:r w:rsidRPr="00EE0155">
        <w:rPr>
          <w:rFonts w:eastAsia="Calibri" w:cs="Times New Roman"/>
          <w:color w:val="000000" w:themeColor="text1"/>
          <w:szCs w:val="24"/>
          <w:lang w:val="es-ES"/>
        </w:rPr>
        <w:t>servicios de pruebas de histocompatibilid e inmunogenética</w:t>
      </w:r>
      <w:r>
        <w:rPr>
          <w:rFonts w:eastAsia="Calibri" w:cs="Times New Roman"/>
          <w:color w:val="000000" w:themeColor="text1"/>
          <w:szCs w:val="24"/>
          <w:lang w:val="es-ES"/>
        </w:rPr>
        <w:t>,</w:t>
      </w:r>
      <w:r w:rsidRPr="00EE0155">
        <w:rPr>
          <w:rFonts w:eastAsia="Calibri" w:cs="Times New Roman"/>
          <w:color w:val="000000" w:themeColor="text1"/>
          <w:szCs w:val="24"/>
          <w:lang w:val="es-ES"/>
        </w:rPr>
        <w:t xml:space="preserve"> los códigos de validación emitidos por la Dirección Técnica de Provisión y Logística.</w:t>
      </w:r>
    </w:p>
    <w:p w14:paraId="4EFDA6EF"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6.3 Auditoría de la calidad de la facturación de los servicios prestados</w:t>
      </w:r>
    </w:p>
    <w:p w14:paraId="73FA0001"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El prestador previo al pago, deberá entregar a la máxima autoridad del INDOT la documentación en las instalaciones del INDOT, oficina matriz, la misma que contendrá lo siguiente:</w:t>
      </w:r>
    </w:p>
    <w:p w14:paraId="58DF16C1" w14:textId="77777777" w:rsidR="005F7615" w:rsidRPr="00EE0155" w:rsidRDefault="005F7615" w:rsidP="005F7615">
      <w:pPr>
        <w:pStyle w:val="Prrafodelista"/>
        <w:numPr>
          <w:ilvl w:val="0"/>
          <w:numId w:val="25"/>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Oficio dirigido a la máxima autoridad del INDOT solicitando el pago por las pruebas realizadas en operativos cuyo resultado son procuraciones fallidas, el mismo que deberá contener el valor</w:t>
      </w:r>
      <w:r>
        <w:rPr>
          <w:rFonts w:eastAsia="Calibri" w:cs="Times New Roman"/>
          <w:color w:val="000000" w:themeColor="text1"/>
          <w:szCs w:val="24"/>
          <w:lang w:val="es-ES"/>
        </w:rPr>
        <w:t xml:space="preserve"> –conforme el valor tarifario-</w:t>
      </w:r>
      <w:r w:rsidRPr="00EE0155">
        <w:rPr>
          <w:rFonts w:eastAsia="Calibri" w:cs="Times New Roman"/>
          <w:color w:val="000000" w:themeColor="text1"/>
          <w:szCs w:val="24"/>
          <w:lang w:val="es-ES"/>
        </w:rPr>
        <w:t xml:space="preserve"> que corresponda a las pruebas realizadas y estar firmado por el representante legal del laboratorio.</w:t>
      </w:r>
    </w:p>
    <w:p w14:paraId="0178D5A4" w14:textId="77777777" w:rsidR="005F7615" w:rsidRPr="00EE0155" w:rsidRDefault="005F7615" w:rsidP="005F7615">
      <w:pPr>
        <w:pStyle w:val="Prrafodelista"/>
        <w:numPr>
          <w:ilvl w:val="0"/>
          <w:numId w:val="25"/>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lastRenderedPageBreak/>
        <w:t xml:space="preserve">Planilla de las pruebas de laboratorio de histocompatibilidad e inmunogenética realizadas, de acuerdo al </w:t>
      </w:r>
      <w:r>
        <w:rPr>
          <w:rFonts w:eastAsia="Calibri" w:cs="Times New Roman"/>
          <w:color w:val="000000" w:themeColor="text1"/>
          <w:szCs w:val="24"/>
          <w:lang w:val="es-ES"/>
        </w:rPr>
        <w:t xml:space="preserve">tarifario vigente y, al </w:t>
      </w:r>
      <w:r w:rsidRPr="00EE0155">
        <w:rPr>
          <w:rFonts w:eastAsia="Calibri" w:cs="Times New Roman"/>
          <w:color w:val="000000" w:themeColor="text1"/>
          <w:szCs w:val="24"/>
          <w:lang w:val="es-ES"/>
        </w:rPr>
        <w:t>formato adjunto</w:t>
      </w:r>
      <w:r>
        <w:rPr>
          <w:rFonts w:eastAsia="Calibri" w:cs="Times New Roman"/>
          <w:color w:val="000000" w:themeColor="text1"/>
          <w:szCs w:val="24"/>
          <w:lang w:val="es-ES"/>
        </w:rPr>
        <w:t xml:space="preserve"> para tal efecto.</w:t>
      </w:r>
      <w:r w:rsidRPr="00EE0155">
        <w:rPr>
          <w:rFonts w:eastAsia="Calibri" w:cs="Times New Roman"/>
          <w:color w:val="000000" w:themeColor="text1"/>
          <w:szCs w:val="24"/>
          <w:lang w:val="es-ES"/>
        </w:rPr>
        <w:t xml:space="preserve"> </w:t>
      </w:r>
    </w:p>
    <w:p w14:paraId="13A89ACB" w14:textId="77777777" w:rsidR="005F7615" w:rsidRPr="00EE0155" w:rsidRDefault="005F7615" w:rsidP="005F7615">
      <w:pPr>
        <w:pStyle w:val="Prrafodelista"/>
        <w:numPr>
          <w:ilvl w:val="0"/>
          <w:numId w:val="25"/>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Acta entrega recepción del servicio prestado.</w:t>
      </w:r>
    </w:p>
    <w:p w14:paraId="464729A6" w14:textId="77777777" w:rsidR="005F7615" w:rsidRPr="00EE0155" w:rsidRDefault="005F7615" w:rsidP="005F7615">
      <w:pPr>
        <w:pStyle w:val="Prrafodelista"/>
        <w:numPr>
          <w:ilvl w:val="0"/>
          <w:numId w:val="25"/>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Códigos de validación correspondientes a las pruebas realizadas</w:t>
      </w:r>
    </w:p>
    <w:p w14:paraId="3315AAB9" w14:textId="77777777" w:rsidR="005F7615" w:rsidRPr="00EE0155" w:rsidRDefault="005F7615" w:rsidP="005F7615">
      <w:pPr>
        <w:pStyle w:val="Prrafodelista"/>
        <w:numPr>
          <w:ilvl w:val="0"/>
          <w:numId w:val="25"/>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Resultados de exámenes.</w:t>
      </w:r>
    </w:p>
    <w:p w14:paraId="61433C18" w14:textId="77777777" w:rsidR="005F7615" w:rsidRPr="00EE0155" w:rsidRDefault="005F7615" w:rsidP="005F7615">
      <w:pPr>
        <w:pStyle w:val="Prrafodelista"/>
        <w:numPr>
          <w:ilvl w:val="0"/>
          <w:numId w:val="25"/>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 xml:space="preserve">Factura global de los valores económicos </w:t>
      </w:r>
      <w:r>
        <w:rPr>
          <w:rFonts w:eastAsia="Calibri" w:cs="Times New Roman"/>
          <w:color w:val="000000" w:themeColor="text1"/>
          <w:szCs w:val="24"/>
          <w:lang w:val="es-ES"/>
        </w:rPr>
        <w:t>a ser cancelados del mes correspondiente-</w:t>
      </w:r>
    </w:p>
    <w:p w14:paraId="6B654A18"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Informe de Pertinencia técnica/médica</w:t>
      </w:r>
    </w:p>
    <w:p w14:paraId="27D871B5"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La Dirección Técnica de Provisión y Logística recibirá la documentación para realizar la auditoría de calidad de la facturación y emitirá el informe de pertinencia técnica que incluye:</w:t>
      </w:r>
    </w:p>
    <w:p w14:paraId="358EF150"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Confirmación de procuraciones fallidas producidas en el mes de análisis.</w:t>
      </w:r>
    </w:p>
    <w:p w14:paraId="47CC6B9E"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Verificación de códigos de validación emitidos por las pruebas realizadas en el mes y que correspondan a procuraciones fallidas.</w:t>
      </w:r>
    </w:p>
    <w:p w14:paraId="08497946"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Verificación de resultados de exámenes de las pruebas realizadas que estén con la información completa y que correspondan a procuraciones fallidas.</w:t>
      </w:r>
    </w:p>
    <w:p w14:paraId="05BE22FD" w14:textId="77777777" w:rsidR="005F7615" w:rsidRDefault="005F7615" w:rsidP="005F7615">
      <w:pPr>
        <w:spacing w:before="100" w:beforeAutospacing="1" w:after="100" w:afterAutospacing="1" w:line="276" w:lineRule="auto"/>
        <w:jc w:val="both"/>
        <w:rPr>
          <w:rFonts w:eastAsia="Calibri" w:cs="Times New Roman"/>
          <w:color w:val="000000" w:themeColor="text1"/>
          <w:szCs w:val="24"/>
          <w:lang w:val="es-ES"/>
        </w:rPr>
      </w:pPr>
      <w:r>
        <w:rPr>
          <w:rFonts w:eastAsia="Calibri" w:cs="Times New Roman"/>
          <w:color w:val="000000" w:themeColor="text1"/>
          <w:szCs w:val="24"/>
          <w:lang w:val="es-ES"/>
        </w:rPr>
        <w:t>Recomendación y solicitud de pago.</w:t>
      </w:r>
    </w:p>
    <w:p w14:paraId="6A50EBFF"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Informe de Pertinencia Administrativa/financiera</w:t>
      </w:r>
    </w:p>
    <w:p w14:paraId="3D7A764B"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 xml:space="preserve">La Dirección Administrativa Financiera realizará el control previo </w:t>
      </w:r>
      <w:r>
        <w:rPr>
          <w:rFonts w:eastAsia="Calibri" w:cs="Times New Roman"/>
          <w:color w:val="000000" w:themeColor="text1"/>
          <w:szCs w:val="24"/>
          <w:lang w:val="es-ES"/>
        </w:rPr>
        <w:t>al pago de conformidad con las Normas de Control y demás normativa legal vigente; para lo cual emitirá su validación con su respectivo check list.</w:t>
      </w:r>
    </w:p>
    <w:p w14:paraId="1E19013A"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6.4 Pago de pruebas de laboratorio de histocompatibilidad en procuraciones fallidas</w:t>
      </w:r>
    </w:p>
    <w:p w14:paraId="4050C9B7"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Se pagará de acuerdo a los valores establecidos en el Tarifario de Prestaciones para el Sistema Nacional de Salud vigente.</w:t>
      </w:r>
    </w:p>
    <w:p w14:paraId="76573B6F" w14:textId="77777777"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Pr>
          <w:rFonts w:eastAsia="Calibri" w:cs="Times New Roman"/>
          <w:color w:val="000000" w:themeColor="text1"/>
          <w:szCs w:val="24"/>
          <w:lang w:val="es-ES"/>
        </w:rPr>
        <w:t>Documentación habilitante para el pago:</w:t>
      </w:r>
    </w:p>
    <w:p w14:paraId="0B8FF5E2"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Oficio de solicitud de pago por parte del prestador del servicio</w:t>
      </w:r>
    </w:p>
    <w:p w14:paraId="2CD88996"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Planilla de las pruebas de laboratorio de histocompatibilidad e inmunogenética realizadas.</w:t>
      </w:r>
    </w:p>
    <w:p w14:paraId="0A2318F6"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lastRenderedPageBreak/>
        <w:t>Informe de pertinencia técnico/médica.</w:t>
      </w:r>
    </w:p>
    <w:p w14:paraId="7F814432"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Resultados de exámenes</w:t>
      </w:r>
    </w:p>
    <w:p w14:paraId="1D222029"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Códigos de validación</w:t>
      </w:r>
    </w:p>
    <w:p w14:paraId="4138913F"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Acta entrega recepción</w:t>
      </w:r>
    </w:p>
    <w:p w14:paraId="3228FB40" w14:textId="77777777" w:rsidR="005F7615" w:rsidRPr="00EE0155" w:rsidRDefault="005F7615" w:rsidP="005F7615">
      <w:pPr>
        <w:pStyle w:val="Prrafodelista"/>
        <w:numPr>
          <w:ilvl w:val="0"/>
          <w:numId w:val="26"/>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Factura original</w:t>
      </w:r>
    </w:p>
    <w:p w14:paraId="693B8629" w14:textId="77777777" w:rsidR="005F7615" w:rsidRPr="00EE0155" w:rsidRDefault="005F7615" w:rsidP="005F7615">
      <w:pPr>
        <w:spacing w:before="100" w:beforeAutospacing="1" w:after="100" w:afterAutospacing="1" w:line="276" w:lineRule="auto"/>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6.5 Archivo de documentación</w:t>
      </w:r>
    </w:p>
    <w:p w14:paraId="7D7D0E8C" w14:textId="36F8A628" w:rsidR="005F7615" w:rsidRPr="00EE0155" w:rsidRDefault="005F7615" w:rsidP="005F7615">
      <w:p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La documentación original que respalda el proceso de pago estará bajo la custodia de la Dirección Administrativa Financiera.</w:t>
      </w:r>
    </w:p>
    <w:p w14:paraId="53D41BC3" w14:textId="77777777" w:rsidR="005F7615" w:rsidRPr="00EE0155" w:rsidRDefault="005F7615" w:rsidP="005F7615">
      <w:pPr>
        <w:numPr>
          <w:ilvl w:val="0"/>
          <w:numId w:val="1"/>
        </w:numPr>
        <w:spacing w:before="100" w:beforeAutospacing="1" w:after="100" w:afterAutospacing="1" w:line="276" w:lineRule="auto"/>
        <w:ind w:left="0"/>
        <w:jc w:val="both"/>
        <w:rPr>
          <w:rFonts w:eastAsia="Calibri" w:cs="Times New Roman"/>
          <w:b/>
          <w:color w:val="000000" w:themeColor="text1"/>
          <w:szCs w:val="24"/>
          <w:lang w:val="es-ES"/>
        </w:rPr>
      </w:pPr>
      <w:r w:rsidRPr="00EE0155">
        <w:rPr>
          <w:rFonts w:eastAsia="Calibri" w:cs="Times New Roman"/>
          <w:b/>
          <w:color w:val="000000" w:themeColor="text1"/>
          <w:szCs w:val="24"/>
          <w:lang w:val="es-ES"/>
        </w:rPr>
        <w:t>REFERENCIAS</w:t>
      </w:r>
    </w:p>
    <w:p w14:paraId="0B39EDE5" w14:textId="77777777" w:rsidR="005F7615" w:rsidRPr="00EE0155" w:rsidRDefault="005F7615" w:rsidP="005F7615">
      <w:pPr>
        <w:pStyle w:val="Prrafodelista"/>
        <w:numPr>
          <w:ilvl w:val="0"/>
          <w:numId w:val="21"/>
        </w:numPr>
        <w:spacing w:before="100" w:beforeAutospacing="1" w:after="100" w:afterAutospacing="1" w:line="276" w:lineRule="auto"/>
        <w:jc w:val="both"/>
        <w:rPr>
          <w:rFonts w:eastAsia="Calibri" w:cs="Times New Roman"/>
          <w:szCs w:val="24"/>
          <w:lang w:val="es-ES"/>
        </w:rPr>
      </w:pPr>
      <w:r w:rsidRPr="00EE0155">
        <w:rPr>
          <w:rFonts w:eastAsia="Calibri" w:cs="Times New Roman"/>
          <w:szCs w:val="24"/>
          <w:lang w:val="es-ES"/>
        </w:rPr>
        <w:t>Ley Orgánica de Donación y Trasplante de Órganos, Tejidos y Células y su Reglamento General.</w:t>
      </w:r>
    </w:p>
    <w:p w14:paraId="48682CCD" w14:textId="77777777" w:rsidR="005F7615" w:rsidRPr="00EE0155" w:rsidRDefault="005F7615" w:rsidP="005F7615">
      <w:pPr>
        <w:pStyle w:val="Prrafodelista"/>
        <w:numPr>
          <w:ilvl w:val="0"/>
          <w:numId w:val="21"/>
        </w:numPr>
        <w:spacing w:before="100" w:beforeAutospacing="1" w:after="100" w:afterAutospacing="1" w:line="276" w:lineRule="auto"/>
        <w:jc w:val="both"/>
        <w:rPr>
          <w:rFonts w:eastAsia="Calibri" w:cs="Times New Roman"/>
          <w:color w:val="000000" w:themeColor="text1"/>
          <w:szCs w:val="24"/>
          <w:lang w:val="es-ES"/>
        </w:rPr>
      </w:pPr>
      <w:r w:rsidRPr="00EE0155">
        <w:rPr>
          <w:rFonts w:eastAsia="Calibri" w:cs="Times New Roman"/>
          <w:color w:val="000000" w:themeColor="text1"/>
          <w:szCs w:val="24"/>
          <w:lang w:val="es-ES"/>
        </w:rPr>
        <w:t>INDOT - Norma técnica del Proceso de Procuración en Donante Cadavérico. Registro Oficial N° 373 de 22 de noviembre de 2018.</w:t>
      </w:r>
    </w:p>
    <w:p w14:paraId="235394B1" w14:textId="77777777" w:rsidR="005F7615" w:rsidRPr="005F7615" w:rsidRDefault="005F7615" w:rsidP="005F7615">
      <w:pPr>
        <w:pStyle w:val="Prrafodelista"/>
        <w:numPr>
          <w:ilvl w:val="0"/>
          <w:numId w:val="21"/>
        </w:numPr>
        <w:spacing w:before="100" w:beforeAutospacing="1" w:after="100" w:afterAutospacing="1" w:line="276" w:lineRule="auto"/>
        <w:jc w:val="both"/>
        <w:rPr>
          <w:rFonts w:eastAsia="Calibri" w:cs="Times New Roman"/>
          <w:szCs w:val="24"/>
          <w:lang w:val="es-ES"/>
        </w:rPr>
      </w:pPr>
      <w:r w:rsidRPr="00EE0155">
        <w:rPr>
          <w:rFonts w:cs="Times New Roman"/>
          <w:szCs w:val="24"/>
          <w:lang w:val="es-ES"/>
        </w:rPr>
        <w:t>Norma Técnica Sustitutiva de Relacionamiento para la Prestación de Servicios de Salud entre Instituciones de la Red Pública Integral de Salud y de la Red Privada complementaria y su reconocimiento económico.</w:t>
      </w:r>
    </w:p>
    <w:p w14:paraId="38604646" w14:textId="587C0A97" w:rsidR="00EF7A20" w:rsidRPr="005F7615" w:rsidRDefault="005F7615" w:rsidP="005F7615">
      <w:pPr>
        <w:pStyle w:val="Prrafodelista"/>
        <w:numPr>
          <w:ilvl w:val="0"/>
          <w:numId w:val="21"/>
        </w:numPr>
        <w:spacing w:before="100" w:beforeAutospacing="1" w:after="100" w:afterAutospacing="1" w:line="276" w:lineRule="auto"/>
        <w:jc w:val="both"/>
        <w:rPr>
          <w:rFonts w:eastAsia="Calibri" w:cs="Times New Roman"/>
          <w:szCs w:val="24"/>
          <w:lang w:val="es-ES"/>
        </w:rPr>
      </w:pPr>
      <w:r w:rsidRPr="005F7615">
        <w:rPr>
          <w:rFonts w:cs="Times New Roman"/>
          <w:szCs w:val="24"/>
          <w:lang w:val="es-ES"/>
        </w:rPr>
        <w:t xml:space="preserve">Tarifario de Prestaciones </w:t>
      </w:r>
      <w:r w:rsidRPr="005F7615">
        <w:rPr>
          <w:rFonts w:eastAsia="Times New Roman" w:cs="Times New Roman"/>
          <w:noProof/>
          <w:szCs w:val="24"/>
          <w:lang w:eastAsia="es-EC"/>
        </w:rPr>
        <w:t>del Sistema Nacional de Salud vigente</w:t>
      </w:r>
    </w:p>
    <w:p w14:paraId="29AF16DA" w14:textId="77777777" w:rsidR="005F7615" w:rsidRDefault="005F7615" w:rsidP="005F7615">
      <w:pPr>
        <w:pStyle w:val="Prrafodelista"/>
        <w:spacing w:before="100" w:beforeAutospacing="1" w:after="100" w:afterAutospacing="1" w:line="276" w:lineRule="auto"/>
        <w:jc w:val="both"/>
        <w:rPr>
          <w:rFonts w:eastAsia="Times New Roman" w:cs="Times New Roman"/>
          <w:noProof/>
          <w:szCs w:val="24"/>
          <w:lang w:eastAsia="es-EC"/>
        </w:rPr>
      </w:pPr>
    </w:p>
    <w:p w14:paraId="5EEDAEF8" w14:textId="77777777" w:rsidR="00806CF7" w:rsidRDefault="00806CF7" w:rsidP="005F7615">
      <w:pPr>
        <w:pStyle w:val="Prrafodelista"/>
        <w:spacing w:before="100" w:beforeAutospacing="1" w:after="100" w:afterAutospacing="1" w:line="276" w:lineRule="auto"/>
        <w:jc w:val="both"/>
        <w:rPr>
          <w:rFonts w:eastAsia="Times New Roman" w:cs="Times New Roman"/>
          <w:noProof/>
          <w:szCs w:val="24"/>
          <w:lang w:eastAsia="es-EC"/>
        </w:rPr>
      </w:pPr>
    </w:p>
    <w:p w14:paraId="5F5E55BB" w14:textId="77777777" w:rsidR="00806CF7" w:rsidRDefault="00806CF7" w:rsidP="005F7615">
      <w:pPr>
        <w:pStyle w:val="Prrafodelista"/>
        <w:spacing w:before="100" w:beforeAutospacing="1" w:after="100" w:afterAutospacing="1" w:line="276" w:lineRule="auto"/>
        <w:jc w:val="both"/>
        <w:rPr>
          <w:rFonts w:eastAsia="Times New Roman" w:cs="Times New Roman"/>
          <w:noProof/>
          <w:szCs w:val="24"/>
          <w:lang w:eastAsia="es-EC"/>
        </w:rPr>
      </w:pPr>
    </w:p>
    <w:p w14:paraId="410BDE85" w14:textId="77777777" w:rsidR="00806CF7" w:rsidRDefault="00806CF7" w:rsidP="005F7615">
      <w:pPr>
        <w:pStyle w:val="Prrafodelista"/>
        <w:spacing w:before="100" w:beforeAutospacing="1" w:after="100" w:afterAutospacing="1" w:line="276" w:lineRule="auto"/>
        <w:jc w:val="both"/>
        <w:rPr>
          <w:rFonts w:eastAsia="Times New Roman" w:cs="Times New Roman"/>
          <w:noProof/>
          <w:szCs w:val="24"/>
          <w:lang w:eastAsia="es-EC"/>
        </w:rPr>
      </w:pPr>
    </w:p>
    <w:p w14:paraId="7F646A41" w14:textId="77777777" w:rsidR="00806CF7" w:rsidRDefault="00806CF7" w:rsidP="005F7615">
      <w:pPr>
        <w:pStyle w:val="Prrafodelista"/>
        <w:spacing w:before="100" w:beforeAutospacing="1" w:after="100" w:afterAutospacing="1" w:line="276" w:lineRule="auto"/>
        <w:jc w:val="both"/>
        <w:rPr>
          <w:rFonts w:eastAsia="Times New Roman" w:cs="Times New Roman"/>
          <w:noProof/>
          <w:szCs w:val="24"/>
          <w:lang w:eastAsia="es-EC"/>
        </w:rPr>
      </w:pPr>
    </w:p>
    <w:tbl>
      <w:tblPr>
        <w:tblStyle w:val="Tablaconcuadrcula"/>
        <w:tblW w:w="0" w:type="auto"/>
        <w:tblInd w:w="720" w:type="dxa"/>
        <w:tblLook w:val="04A0" w:firstRow="1" w:lastRow="0" w:firstColumn="1" w:lastColumn="0" w:noHBand="0" w:noVBand="1"/>
      </w:tblPr>
      <w:tblGrid>
        <w:gridCol w:w="3840"/>
        <w:gridCol w:w="3928"/>
      </w:tblGrid>
      <w:tr w:rsidR="005F7615" w14:paraId="5B3421E3" w14:textId="77777777" w:rsidTr="005F7615">
        <w:tc>
          <w:tcPr>
            <w:tcW w:w="4244" w:type="dxa"/>
          </w:tcPr>
          <w:p w14:paraId="13DADE86" w14:textId="6F9E6436"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r>
              <w:rPr>
                <w:rFonts w:eastAsia="Calibri" w:cs="Times New Roman"/>
                <w:szCs w:val="24"/>
                <w:lang w:val="es-ES"/>
              </w:rPr>
              <w:t>Elaborado por:</w:t>
            </w:r>
          </w:p>
          <w:p w14:paraId="4E976E4E"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p>
          <w:p w14:paraId="226F85F2"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p>
          <w:p w14:paraId="2B726610"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p>
          <w:p w14:paraId="5EC242C9"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p>
          <w:p w14:paraId="6D264127" w14:textId="77777777" w:rsidR="005F7615" w:rsidRDefault="005F7615" w:rsidP="00806CF7">
            <w:pPr>
              <w:pStyle w:val="Prrafodelista"/>
              <w:spacing w:before="100" w:beforeAutospacing="1" w:after="100" w:afterAutospacing="1" w:line="276" w:lineRule="auto"/>
              <w:ind w:left="0"/>
              <w:jc w:val="center"/>
              <w:rPr>
                <w:rFonts w:eastAsia="Calibri" w:cs="Times New Roman"/>
                <w:szCs w:val="24"/>
                <w:lang w:val="es-ES"/>
              </w:rPr>
            </w:pPr>
            <w:r>
              <w:rPr>
                <w:rFonts w:eastAsia="Calibri" w:cs="Times New Roman"/>
                <w:szCs w:val="24"/>
                <w:lang w:val="es-ES"/>
              </w:rPr>
              <w:t>Lic. Fanny Zurita</w:t>
            </w:r>
          </w:p>
          <w:p w14:paraId="50A0ED89" w14:textId="7DE22855" w:rsidR="005F7615" w:rsidRDefault="005F7615" w:rsidP="00806CF7">
            <w:pPr>
              <w:pStyle w:val="Prrafodelista"/>
              <w:spacing w:before="100" w:beforeAutospacing="1" w:after="100" w:afterAutospacing="1" w:line="276" w:lineRule="auto"/>
              <w:ind w:left="0"/>
              <w:jc w:val="center"/>
              <w:rPr>
                <w:rFonts w:eastAsia="Calibri" w:cs="Times New Roman"/>
                <w:szCs w:val="24"/>
                <w:lang w:val="es-ES"/>
              </w:rPr>
            </w:pPr>
            <w:r>
              <w:rPr>
                <w:rFonts w:eastAsia="Calibri" w:cs="Times New Roman"/>
                <w:szCs w:val="24"/>
                <w:lang w:val="es-ES"/>
              </w:rPr>
              <w:t>DIRECTORA TÉCNICA DE PROVISIÓN Y LOGÍSTICA</w:t>
            </w:r>
          </w:p>
        </w:tc>
        <w:tc>
          <w:tcPr>
            <w:tcW w:w="4244" w:type="dxa"/>
          </w:tcPr>
          <w:p w14:paraId="15EFB2F3"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r>
              <w:rPr>
                <w:rFonts w:eastAsia="Calibri" w:cs="Times New Roman"/>
                <w:szCs w:val="24"/>
                <w:lang w:val="es-ES"/>
              </w:rPr>
              <w:t>Revisado y aprobado por:</w:t>
            </w:r>
          </w:p>
          <w:p w14:paraId="27B0BFBD"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p>
          <w:p w14:paraId="42B876A0" w14:textId="77777777" w:rsidR="005F7615" w:rsidRDefault="005F7615" w:rsidP="005F7615">
            <w:pPr>
              <w:pStyle w:val="Prrafodelista"/>
              <w:spacing w:before="100" w:beforeAutospacing="1" w:after="100" w:afterAutospacing="1" w:line="276" w:lineRule="auto"/>
              <w:ind w:left="0"/>
              <w:jc w:val="both"/>
              <w:rPr>
                <w:rFonts w:eastAsia="Calibri" w:cs="Times New Roman"/>
                <w:szCs w:val="24"/>
                <w:lang w:val="es-ES"/>
              </w:rPr>
            </w:pPr>
          </w:p>
          <w:p w14:paraId="4A4D4CEE" w14:textId="77777777" w:rsidR="00806CF7" w:rsidRDefault="00806CF7" w:rsidP="005F7615">
            <w:pPr>
              <w:pStyle w:val="Prrafodelista"/>
              <w:spacing w:before="100" w:beforeAutospacing="1" w:after="100" w:afterAutospacing="1" w:line="276" w:lineRule="auto"/>
              <w:ind w:left="0"/>
              <w:jc w:val="both"/>
              <w:rPr>
                <w:rFonts w:eastAsia="Calibri" w:cs="Times New Roman"/>
                <w:szCs w:val="24"/>
                <w:lang w:val="es-ES"/>
              </w:rPr>
            </w:pPr>
          </w:p>
          <w:p w14:paraId="128D101E" w14:textId="77777777" w:rsidR="00806CF7" w:rsidRDefault="00806CF7" w:rsidP="005F7615">
            <w:pPr>
              <w:pStyle w:val="Prrafodelista"/>
              <w:spacing w:before="100" w:beforeAutospacing="1" w:after="100" w:afterAutospacing="1" w:line="276" w:lineRule="auto"/>
              <w:ind w:left="0"/>
              <w:jc w:val="both"/>
              <w:rPr>
                <w:rFonts w:eastAsia="Calibri" w:cs="Times New Roman"/>
                <w:szCs w:val="24"/>
                <w:lang w:val="es-ES"/>
              </w:rPr>
            </w:pPr>
          </w:p>
          <w:p w14:paraId="277BD8BF" w14:textId="77777777" w:rsidR="005F7615" w:rsidRDefault="005F7615" w:rsidP="00806CF7">
            <w:pPr>
              <w:pStyle w:val="Prrafodelista"/>
              <w:spacing w:before="100" w:beforeAutospacing="1" w:after="100" w:afterAutospacing="1" w:line="276" w:lineRule="auto"/>
              <w:ind w:left="0"/>
              <w:jc w:val="center"/>
              <w:rPr>
                <w:rFonts w:eastAsia="Calibri" w:cs="Times New Roman"/>
                <w:szCs w:val="24"/>
                <w:lang w:val="es-ES"/>
              </w:rPr>
            </w:pPr>
            <w:r>
              <w:rPr>
                <w:rFonts w:eastAsia="Calibri" w:cs="Times New Roman"/>
                <w:szCs w:val="24"/>
                <w:lang w:val="es-ES"/>
              </w:rPr>
              <w:t>Dra. Sandra Luna</w:t>
            </w:r>
          </w:p>
          <w:p w14:paraId="48C57C08" w14:textId="54ED8448" w:rsidR="005F7615" w:rsidRDefault="005F7615" w:rsidP="00806CF7">
            <w:pPr>
              <w:pStyle w:val="Prrafodelista"/>
              <w:spacing w:before="100" w:beforeAutospacing="1" w:after="100" w:afterAutospacing="1" w:line="276" w:lineRule="auto"/>
              <w:ind w:left="0"/>
              <w:jc w:val="center"/>
              <w:rPr>
                <w:rFonts w:eastAsia="Calibri" w:cs="Times New Roman"/>
                <w:szCs w:val="24"/>
                <w:lang w:val="es-ES"/>
              </w:rPr>
            </w:pPr>
            <w:r>
              <w:rPr>
                <w:rFonts w:eastAsia="Calibri" w:cs="Times New Roman"/>
                <w:szCs w:val="24"/>
                <w:lang w:val="es-ES"/>
              </w:rPr>
              <w:t>COORDINADORA GENERAL TÉCNICA</w:t>
            </w:r>
          </w:p>
        </w:tc>
      </w:tr>
    </w:tbl>
    <w:p w14:paraId="3D0C746C" w14:textId="5536E709" w:rsidR="005F7615" w:rsidRPr="005F7615" w:rsidRDefault="005F7615" w:rsidP="005F7615">
      <w:pPr>
        <w:pStyle w:val="Prrafodelista"/>
        <w:spacing w:before="100" w:beforeAutospacing="1" w:after="100" w:afterAutospacing="1" w:line="276" w:lineRule="auto"/>
        <w:jc w:val="both"/>
        <w:rPr>
          <w:rFonts w:eastAsia="Calibri" w:cs="Times New Roman"/>
          <w:szCs w:val="24"/>
          <w:lang w:val="es-ES"/>
        </w:rPr>
      </w:pPr>
    </w:p>
    <w:sectPr w:rsidR="005F7615" w:rsidRPr="005F7615" w:rsidSect="00E4461B">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178E" w14:textId="77777777" w:rsidR="002125B7" w:rsidRDefault="002125B7">
      <w:r>
        <w:separator/>
      </w:r>
    </w:p>
  </w:endnote>
  <w:endnote w:type="continuationSeparator" w:id="0">
    <w:p w14:paraId="6D0E24BA" w14:textId="77777777" w:rsidR="002125B7" w:rsidRDefault="0021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50FD9" w14:textId="77777777" w:rsidR="002125B7" w:rsidRDefault="002125B7">
      <w:r>
        <w:separator/>
      </w:r>
    </w:p>
  </w:footnote>
  <w:footnote w:type="continuationSeparator" w:id="0">
    <w:p w14:paraId="503C017A" w14:textId="77777777" w:rsidR="002125B7" w:rsidRDefault="002125B7">
      <w:r>
        <w:continuationSeparator/>
      </w:r>
    </w:p>
  </w:footnote>
  <w:footnote w:id="1">
    <w:p w14:paraId="298BB0E7" w14:textId="77777777" w:rsidR="005F7615" w:rsidRDefault="005F7615" w:rsidP="005F7615">
      <w:pPr>
        <w:pStyle w:val="Textonotapie"/>
      </w:pPr>
      <w:r>
        <w:rPr>
          <w:rStyle w:val="Refdenotaalpie"/>
        </w:rPr>
        <w:footnoteRef/>
      </w:r>
      <w:r>
        <w:t xml:space="preserve"> Procedimiento pago de exámenes de laboratorio a donantes cadavéricos. RO.</w:t>
      </w:r>
      <w:r w:rsidRPr="00117C6E">
        <w:t>351 de 19 de octubre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969692"/>
      <w:docPartObj>
        <w:docPartGallery w:val="AutoText"/>
      </w:docPartObj>
    </w:sdtPr>
    <w:sdtEndPr/>
    <w:sdtContent>
      <w:p w14:paraId="09EB3A79" w14:textId="77777777" w:rsidR="00ED35AA" w:rsidRDefault="00ED35AA">
        <w:pPr>
          <w:pStyle w:val="Encabezado"/>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ED35AA" w:rsidRPr="00A25D33" w14:paraId="34AAEB00" w14:textId="77777777" w:rsidTr="00A75CFF">
          <w:trPr>
            <w:trHeight w:val="527"/>
          </w:trPr>
          <w:tc>
            <w:tcPr>
              <w:tcW w:w="2586" w:type="dxa"/>
              <w:vMerge w:val="restart"/>
              <w:vAlign w:val="center"/>
            </w:tcPr>
            <w:p w14:paraId="202EE842" w14:textId="77777777" w:rsidR="00ED35AA" w:rsidRPr="00A25D33" w:rsidRDefault="00ED35AA" w:rsidP="00ED35AA">
              <w:pPr>
                <w:tabs>
                  <w:tab w:val="center" w:pos="4252"/>
                  <w:tab w:val="right" w:pos="8504"/>
                </w:tabs>
                <w:jc w:val="center"/>
                <w:rPr>
                  <w:rFonts w:ascii="Arial" w:eastAsia="Calibri" w:hAnsi="Arial" w:cs="Arial"/>
                  <w:b/>
                </w:rPr>
              </w:pPr>
              <w:r w:rsidRPr="00B969EE">
                <w:rPr>
                  <w:noProof/>
                  <w:lang w:eastAsia="es-EC"/>
                </w:rPr>
                <w:drawing>
                  <wp:inline distT="0" distB="0" distL="0" distR="0" wp14:anchorId="3B3B8F7B" wp14:editId="76FC43B0">
                    <wp:extent cx="1447800" cy="495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t="23141" b="16451"/>
                            <a:stretch>
                              <a:fillRect/>
                            </a:stretch>
                          </pic:blipFill>
                          <pic:spPr bwMode="auto">
                            <a:xfrm>
                              <a:off x="0" y="0"/>
                              <a:ext cx="1447800" cy="495300"/>
                            </a:xfrm>
                            <a:prstGeom prst="rect">
                              <a:avLst/>
                            </a:prstGeom>
                            <a:noFill/>
                            <a:ln>
                              <a:noFill/>
                            </a:ln>
                          </pic:spPr>
                        </pic:pic>
                      </a:graphicData>
                    </a:graphic>
                  </wp:inline>
                </w:drawing>
              </w:r>
            </w:p>
          </w:tc>
          <w:tc>
            <w:tcPr>
              <w:tcW w:w="3870" w:type="dxa"/>
              <w:vMerge w:val="restart"/>
              <w:shd w:val="clear" w:color="auto" w:fill="auto"/>
              <w:vAlign w:val="center"/>
            </w:tcPr>
            <w:p w14:paraId="4290FD93" w14:textId="5EAE8AD8" w:rsidR="00ED35AA" w:rsidRPr="0002036D" w:rsidRDefault="00ED35AA" w:rsidP="00ED35AA">
              <w:pPr>
                <w:jc w:val="center"/>
                <w:rPr>
                  <w:b/>
                </w:rPr>
              </w:pPr>
              <w:r>
                <w:rPr>
                  <w:rFonts w:ascii="Arial" w:hAnsi="Arial" w:cs="Arial"/>
                  <w:b/>
                  <w:bCs/>
                </w:rPr>
                <w:t>INSTRUCTIVO PARA EL PAGO DE PROCURACIONES FALLIDAS</w:t>
              </w:r>
            </w:p>
          </w:tc>
          <w:tc>
            <w:tcPr>
              <w:tcW w:w="3184" w:type="dxa"/>
              <w:vAlign w:val="center"/>
            </w:tcPr>
            <w:p w14:paraId="4F5CC2D3" w14:textId="2712AB0C" w:rsidR="00ED35AA" w:rsidRPr="00A25D33" w:rsidRDefault="00ED35AA" w:rsidP="00ED35AA">
              <w:pPr>
                <w:keepNext/>
                <w:ind w:left="1152" w:hanging="1152"/>
                <w:outlineLvl w:val="5"/>
                <w:rPr>
                  <w:rFonts w:ascii="Arial" w:hAnsi="Arial" w:cs="Arial"/>
                  <w:b/>
                </w:rPr>
              </w:pPr>
              <w:r w:rsidRPr="00A25D33">
                <w:rPr>
                  <w:rFonts w:ascii="Arial" w:hAnsi="Arial" w:cs="Arial"/>
                  <w:b/>
                </w:rPr>
                <w:t xml:space="preserve">FECHA: </w:t>
              </w:r>
              <w:r>
                <w:rPr>
                  <w:rFonts w:ascii="Arial" w:hAnsi="Arial" w:cs="Arial"/>
                </w:rPr>
                <w:t>18-10</w:t>
              </w:r>
              <w:r>
                <w:rPr>
                  <w:rFonts w:ascii="Arial" w:hAnsi="Arial" w:cs="Arial"/>
                </w:rPr>
                <w:t>-2019</w:t>
              </w:r>
            </w:p>
          </w:tc>
        </w:tr>
        <w:tr w:rsidR="00ED35AA" w:rsidRPr="00A25D33" w14:paraId="2F60D8AB" w14:textId="77777777" w:rsidTr="00A75CFF">
          <w:trPr>
            <w:trHeight w:val="347"/>
          </w:trPr>
          <w:tc>
            <w:tcPr>
              <w:tcW w:w="2586" w:type="dxa"/>
              <w:vMerge/>
            </w:tcPr>
            <w:p w14:paraId="1C062A61" w14:textId="77777777" w:rsidR="00ED35AA" w:rsidRPr="00A25D33" w:rsidRDefault="00ED35AA" w:rsidP="00ED35AA">
              <w:pPr>
                <w:jc w:val="center"/>
                <w:rPr>
                  <w:rFonts w:ascii="Arial" w:eastAsia="Calibri" w:hAnsi="Arial" w:cs="Arial"/>
                </w:rPr>
              </w:pPr>
            </w:p>
          </w:tc>
          <w:tc>
            <w:tcPr>
              <w:tcW w:w="3870" w:type="dxa"/>
              <w:vMerge/>
              <w:shd w:val="clear" w:color="auto" w:fill="auto"/>
            </w:tcPr>
            <w:p w14:paraId="33949ABD" w14:textId="77777777" w:rsidR="00ED35AA" w:rsidRPr="00A25D33" w:rsidRDefault="00ED35AA" w:rsidP="00ED35AA">
              <w:pPr>
                <w:tabs>
                  <w:tab w:val="center" w:pos="4252"/>
                  <w:tab w:val="right" w:pos="8504"/>
                </w:tabs>
                <w:rPr>
                  <w:rFonts w:ascii="Arial" w:eastAsia="Calibri" w:hAnsi="Arial" w:cs="Arial"/>
                </w:rPr>
              </w:pPr>
            </w:p>
          </w:tc>
          <w:tc>
            <w:tcPr>
              <w:tcW w:w="3184" w:type="dxa"/>
              <w:vAlign w:val="center"/>
            </w:tcPr>
            <w:p w14:paraId="670113C8" w14:textId="73EBDBE7" w:rsidR="00ED35AA" w:rsidRPr="00A25D33" w:rsidRDefault="00ED35AA" w:rsidP="00ED35AA">
              <w:pPr>
                <w:tabs>
                  <w:tab w:val="center" w:pos="4252"/>
                  <w:tab w:val="right" w:pos="8504"/>
                </w:tabs>
                <w:rPr>
                  <w:rFonts w:ascii="Arial" w:eastAsia="Calibri" w:hAnsi="Arial" w:cs="Arial"/>
                  <w:u w:val="single"/>
                </w:rPr>
              </w:pPr>
              <w:r w:rsidRPr="00A25D33">
                <w:rPr>
                  <w:rFonts w:ascii="Arial" w:eastAsia="Calibri" w:hAnsi="Arial" w:cs="Arial"/>
                  <w:b/>
                </w:rPr>
                <w:t xml:space="preserve">CÓDIGO: </w:t>
              </w:r>
              <w:r w:rsidRPr="00ED35AA">
                <w:rPr>
                  <w:rFonts w:ascii="Arial" w:eastAsia="Calibri" w:hAnsi="Arial" w:cs="Arial"/>
                </w:rPr>
                <w:t>PRL-11-INS-02</w:t>
              </w:r>
            </w:p>
          </w:tc>
        </w:tr>
        <w:tr w:rsidR="00ED35AA" w:rsidRPr="00A25D33" w14:paraId="55ABD1E2" w14:textId="77777777" w:rsidTr="00A75CFF">
          <w:trPr>
            <w:trHeight w:val="300"/>
          </w:trPr>
          <w:tc>
            <w:tcPr>
              <w:tcW w:w="2586" w:type="dxa"/>
              <w:vMerge/>
            </w:tcPr>
            <w:p w14:paraId="3164D903" w14:textId="77777777" w:rsidR="00ED35AA" w:rsidRPr="00A25D33" w:rsidRDefault="00ED35AA" w:rsidP="00ED35AA">
              <w:pPr>
                <w:jc w:val="center"/>
                <w:rPr>
                  <w:rFonts w:ascii="Arial" w:eastAsia="Calibri" w:hAnsi="Arial" w:cs="Arial"/>
                </w:rPr>
              </w:pPr>
            </w:p>
          </w:tc>
          <w:tc>
            <w:tcPr>
              <w:tcW w:w="3870" w:type="dxa"/>
              <w:shd w:val="clear" w:color="auto" w:fill="auto"/>
              <w:vAlign w:val="center"/>
            </w:tcPr>
            <w:p w14:paraId="04E6071C" w14:textId="7C554998" w:rsidR="00ED35AA" w:rsidRPr="00A25D33" w:rsidRDefault="00ED35AA" w:rsidP="00ED35AA">
              <w:pPr>
                <w:tabs>
                  <w:tab w:val="center" w:pos="4252"/>
                  <w:tab w:val="right" w:pos="8504"/>
                </w:tabs>
                <w:jc w:val="center"/>
                <w:rPr>
                  <w:rFonts w:ascii="Arial" w:eastAsia="Calibri" w:hAnsi="Arial" w:cs="Arial"/>
                  <w:b/>
                </w:rPr>
              </w:pPr>
              <w:r>
                <w:rPr>
                  <w:rFonts w:ascii="Arial" w:eastAsia="Calibri" w:hAnsi="Arial" w:cs="Arial"/>
                  <w:b/>
                </w:rPr>
                <w:t xml:space="preserve">Versión: </w:t>
              </w:r>
              <w:r>
                <w:rPr>
                  <w:rFonts w:ascii="Arial" w:eastAsia="Calibri" w:hAnsi="Arial" w:cs="Arial"/>
                </w:rPr>
                <w:t>0</w:t>
              </w:r>
              <w:r>
                <w:rPr>
                  <w:rFonts w:ascii="Arial" w:eastAsia="Calibri" w:hAnsi="Arial" w:cs="Arial"/>
                </w:rPr>
                <w:t>1</w:t>
              </w:r>
            </w:p>
          </w:tc>
          <w:tc>
            <w:tcPr>
              <w:tcW w:w="3184" w:type="dxa"/>
              <w:vMerge w:val="restart"/>
              <w:vAlign w:val="center"/>
            </w:tcPr>
            <w:p w14:paraId="07AB676F" w14:textId="77777777" w:rsidR="00ED35AA" w:rsidRPr="00A25D33" w:rsidRDefault="00ED35AA" w:rsidP="00ED35AA">
              <w:pPr>
                <w:keepNext/>
                <w:ind w:left="1152" w:hanging="1152"/>
                <w:outlineLvl w:val="5"/>
                <w:rPr>
                  <w:rFonts w:ascii="Arial" w:hAnsi="Arial" w:cs="Arial"/>
                  <w:b/>
                </w:rPr>
              </w:pPr>
              <w:r w:rsidRPr="00A25D33">
                <w:rPr>
                  <w:rFonts w:ascii="Arial" w:hAnsi="Arial" w:cs="Arial"/>
                  <w:b/>
                </w:rPr>
                <w:t xml:space="preserve">PÁGINA: </w:t>
              </w:r>
              <w:r w:rsidRPr="00A25D33">
                <w:rPr>
                  <w:rFonts w:ascii="Arial" w:hAnsi="Arial" w:cs="Arial"/>
                </w:rPr>
                <w:fldChar w:fldCharType="begin"/>
              </w:r>
              <w:r w:rsidRPr="00A25D33">
                <w:rPr>
                  <w:rFonts w:ascii="Arial" w:hAnsi="Arial" w:cs="Arial"/>
                </w:rPr>
                <w:instrText xml:space="preserve"> PAGE </w:instrText>
              </w:r>
              <w:r w:rsidRPr="00A25D33">
                <w:rPr>
                  <w:rFonts w:ascii="Arial" w:hAnsi="Arial" w:cs="Arial"/>
                </w:rPr>
                <w:fldChar w:fldCharType="separate"/>
              </w:r>
              <w:r>
                <w:rPr>
                  <w:rFonts w:ascii="Arial" w:hAnsi="Arial" w:cs="Arial"/>
                  <w:noProof/>
                </w:rPr>
                <w:t>1</w:t>
              </w:r>
              <w:r w:rsidRPr="00A25D33">
                <w:rPr>
                  <w:rFonts w:ascii="Arial" w:hAnsi="Arial" w:cs="Arial"/>
                </w:rPr>
                <w:fldChar w:fldCharType="end"/>
              </w:r>
              <w:r w:rsidRPr="00A25D33">
                <w:rPr>
                  <w:rFonts w:ascii="Arial" w:hAnsi="Arial" w:cs="Arial"/>
                </w:rPr>
                <w:t xml:space="preserve"> de </w:t>
              </w:r>
              <w:r w:rsidRPr="00A25D33">
                <w:rPr>
                  <w:rFonts w:ascii="Arial" w:hAnsi="Arial" w:cs="Arial"/>
                </w:rPr>
                <w:fldChar w:fldCharType="begin"/>
              </w:r>
              <w:r w:rsidRPr="00A25D33">
                <w:rPr>
                  <w:rFonts w:ascii="Arial" w:hAnsi="Arial" w:cs="Arial"/>
                </w:rPr>
                <w:instrText xml:space="preserve"> NUMPAGES </w:instrText>
              </w:r>
              <w:r w:rsidRPr="00A25D33">
                <w:rPr>
                  <w:rFonts w:ascii="Arial" w:hAnsi="Arial" w:cs="Arial"/>
                </w:rPr>
                <w:fldChar w:fldCharType="separate"/>
              </w:r>
              <w:r>
                <w:rPr>
                  <w:rFonts w:ascii="Arial" w:hAnsi="Arial" w:cs="Arial"/>
                  <w:noProof/>
                </w:rPr>
                <w:t>9</w:t>
              </w:r>
              <w:r w:rsidRPr="00A25D33">
                <w:rPr>
                  <w:rFonts w:ascii="Arial" w:hAnsi="Arial" w:cs="Arial"/>
                </w:rPr>
                <w:fldChar w:fldCharType="end"/>
              </w:r>
            </w:p>
          </w:tc>
        </w:tr>
        <w:tr w:rsidR="00ED35AA" w:rsidRPr="00A25D33" w14:paraId="625D9575" w14:textId="77777777" w:rsidTr="00A75CFF">
          <w:trPr>
            <w:trHeight w:val="440"/>
          </w:trPr>
          <w:tc>
            <w:tcPr>
              <w:tcW w:w="2586" w:type="dxa"/>
              <w:vMerge/>
              <w:tcBorders>
                <w:bottom w:val="single" w:sz="4" w:space="0" w:color="auto"/>
              </w:tcBorders>
            </w:tcPr>
            <w:p w14:paraId="3B9FACA9" w14:textId="77777777" w:rsidR="00ED35AA" w:rsidRPr="00A25D33" w:rsidRDefault="00ED35AA" w:rsidP="00ED35AA">
              <w:pPr>
                <w:jc w:val="center"/>
                <w:rPr>
                  <w:rFonts w:ascii="Arial" w:eastAsia="Calibri" w:hAnsi="Arial" w:cs="Arial"/>
                </w:rPr>
              </w:pPr>
            </w:p>
          </w:tc>
          <w:tc>
            <w:tcPr>
              <w:tcW w:w="3870" w:type="dxa"/>
              <w:tcBorders>
                <w:bottom w:val="single" w:sz="4" w:space="0" w:color="auto"/>
              </w:tcBorders>
              <w:shd w:val="clear" w:color="auto" w:fill="auto"/>
              <w:vAlign w:val="center"/>
            </w:tcPr>
            <w:p w14:paraId="77AF95E6" w14:textId="77777777" w:rsidR="00ED35AA" w:rsidRPr="00A25D33" w:rsidRDefault="00ED35AA" w:rsidP="00ED35AA">
              <w:pPr>
                <w:tabs>
                  <w:tab w:val="center" w:pos="4252"/>
                  <w:tab w:val="right" w:pos="8504"/>
                </w:tabs>
                <w:rPr>
                  <w:rFonts w:ascii="Arial" w:eastAsia="Calibri" w:hAnsi="Arial" w:cs="Arial"/>
                  <w:b/>
                  <w:sz w:val="10"/>
                </w:rPr>
              </w:pPr>
              <w:r w:rsidRPr="00A25D33">
                <w:rPr>
                  <w:rFonts w:ascii="Arial" w:eastAsia="Calibri" w:hAnsi="Arial" w:cs="Arial"/>
                  <w:b/>
                  <w:sz w:val="12"/>
                </w:rPr>
                <w:t>PUBLICADO    EN ANALISIS           BORRADOR        OBSOLETO</w:t>
              </w:r>
            </w:p>
            <w:p w14:paraId="261695D6" w14:textId="77777777" w:rsidR="00ED35AA" w:rsidRPr="00A25D33" w:rsidRDefault="00ED35AA" w:rsidP="00ED35AA">
              <w:pPr>
                <w:tabs>
                  <w:tab w:val="center" w:pos="4252"/>
                  <w:tab w:val="right" w:pos="8504"/>
                </w:tabs>
                <w:rPr>
                  <w:rFonts w:ascii="Arial" w:eastAsia="Calibri" w:hAnsi="Arial" w:cs="Arial"/>
                  <w:b/>
                </w:rPr>
              </w:pPr>
              <w:r>
                <w:rPr>
                  <w:rFonts w:ascii="Arial" w:eastAsia="Calibri" w:hAnsi="Arial" w:cs="Arial"/>
                  <w:noProof/>
                  <w:lang w:eastAsia="es-EC"/>
                </w:rPr>
                <mc:AlternateContent>
                  <mc:Choice Requires="wps">
                    <w:drawing>
                      <wp:anchor distT="0" distB="0" distL="114300" distR="114300" simplePos="0" relativeHeight="251659776" behindDoc="0" locked="0" layoutInCell="1" allowOverlap="1" wp14:anchorId="46BDA741" wp14:editId="74C64D3D">
                        <wp:simplePos x="0" y="0"/>
                        <wp:positionH relativeFrom="column">
                          <wp:posOffset>748030</wp:posOffset>
                        </wp:positionH>
                        <wp:positionV relativeFrom="paragraph">
                          <wp:posOffset>13970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B2883" id="Rectángulo 9" o:spid="_x0000_s1026" style="position:absolute;margin-left:58.9pt;margin-top:1.1pt;width:12.75pt;height: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JdQZUnbAAAACAEAAA8AAABkcnMvZG93bnJldi54bWxMj8FOwzAQ&#10;RO9I/IO1SNyo0xQoCnGqgOi1EgWp5ebGix01Xkex24S/Z3uC49OsZt6Wq8l34oxDbAMpmM8yEEhN&#10;MC1ZBZ8f67snEDFpMroLhAp+MMKqur4qdWHCSO943iYruIRioRW4lPpCytg49DrOQo/E2XcYvE6M&#10;g5Vm0COX+07mWfYovW6JF5zu8dVhc9yevIK3/mtTP9go611y+2N4GdduY5W6vZnqZxAJp/R3DBd9&#10;VoeKnQ7hRCaKjnm+ZPWkIM9BXPL7xQLEgTlbgqxK+f+B6hcAAP//AwBQSwECLQAUAAYACAAAACEA&#10;toM4kv4AAADhAQAAEwAAAAAAAAAAAAAAAAAAAAAAW0NvbnRlbnRfVHlwZXNdLnhtbFBLAQItABQA&#10;BgAIAAAAIQA4/SH/1gAAAJQBAAALAAAAAAAAAAAAAAAAAC8BAABfcmVscy8ucmVsc1BLAQItABQA&#10;BgAIAAAAIQAHN/vwHwIAABQEAAAOAAAAAAAAAAAAAAAAAC4CAABkcnMvZTJvRG9jLnhtbFBLAQIt&#10;ABQABgAIAAAAIQCXUGVJ2wAAAAgBAAAPAAAAAAAAAAAAAAAAAHkEAABkcnMvZG93bnJldi54bWxQ&#10;SwUGAAAAAAQABADzAAAAgQUAAAAA&#10;" filled="f"/>
                    </w:pict>
                  </mc:Fallback>
                </mc:AlternateContent>
              </w:r>
              <w:r>
                <w:rPr>
                  <w:rFonts w:ascii="Arial" w:eastAsia="Calibri" w:hAnsi="Arial" w:cs="Arial"/>
                  <w:noProof/>
                  <w:lang w:eastAsia="es-EC"/>
                </w:rPr>
                <mc:AlternateContent>
                  <mc:Choice Requires="wps">
                    <w:drawing>
                      <wp:anchor distT="0" distB="0" distL="114300" distR="114300" simplePos="0" relativeHeight="251661824" behindDoc="0" locked="0" layoutInCell="1" allowOverlap="1" wp14:anchorId="768E1B30" wp14:editId="44B5EE5B">
                        <wp:simplePos x="0" y="0"/>
                        <wp:positionH relativeFrom="column">
                          <wp:posOffset>2096770</wp:posOffset>
                        </wp:positionH>
                        <wp:positionV relativeFrom="paragraph">
                          <wp:posOffset>19685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2C106" id="Rectángulo 10" o:spid="_x0000_s1026" style="position:absolute;margin-left:165.1pt;margin-top:1.55pt;width:12.75pt;height: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pTsLgd4AAAAIAQAADwAAAGRycy9kb3ducmV2LnhtbEyP&#10;wU7DMBBE70j8g7VI3KidRC0Q4lQIVCSObXrhtomXJBDbUey0ga9nOcFtVjOaeVtsFzuIE02h905D&#10;slIgyDXe9K7VcKx2N3cgQkRncPCONHxRgG15eVFgbvzZ7el0iK3gEhdy1NDFOOZShqYji2HlR3Ls&#10;vfvJYuRzaqWZ8MzldpCpUhtpsXe80OFITx01n4fZaqj79Ijf++pF2ftdFl+X6mN+e9b6+mp5fAAR&#10;aYl/YfjFZ3Qoman2szNBDBqyTKUcZZGAYD9br29B1BrSZAOyLOT/B8ofAAAA//8DAFBLAQItABQA&#10;BgAIAAAAIQC2gziS/gAAAOEBAAATAAAAAAAAAAAAAAAAAAAAAABbQ29udGVudF9UeXBlc10ueG1s&#10;UEsBAi0AFAAGAAgAAAAhADj9If/WAAAAlAEAAAsAAAAAAAAAAAAAAAAALwEAAF9yZWxzLy5yZWxz&#10;UEsBAi0AFAAGAAgAAAAhAMF/18YkAgAAPwQAAA4AAAAAAAAAAAAAAAAALgIAAGRycy9lMm9Eb2Mu&#10;eG1sUEsBAi0AFAAGAAgAAAAhAKU7C4HeAAAACAEAAA8AAAAAAAAAAAAAAAAAfgQAAGRycy9kb3du&#10;cmV2LnhtbFBLBQYAAAAABAAEAPMAAACJBQAAAAA=&#10;"/>
                    </w:pict>
                  </mc:Fallback>
                </mc:AlternateContent>
              </w:r>
              <w:r>
                <w:rPr>
                  <w:rFonts w:ascii="Arial" w:eastAsia="Calibri" w:hAnsi="Arial" w:cs="Arial"/>
                  <w:noProof/>
                  <w:lang w:eastAsia="es-EC"/>
                </w:rPr>
                <mc:AlternateContent>
                  <mc:Choice Requires="wps">
                    <w:drawing>
                      <wp:anchor distT="0" distB="0" distL="114300" distR="114300" simplePos="0" relativeHeight="251662848" behindDoc="0" locked="0" layoutInCell="1" allowOverlap="1" wp14:anchorId="128604E2" wp14:editId="3A761430">
                        <wp:simplePos x="0" y="0"/>
                        <wp:positionH relativeFrom="column">
                          <wp:posOffset>1435100</wp:posOffset>
                        </wp:positionH>
                        <wp:positionV relativeFrom="paragraph">
                          <wp:posOffset>16510</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8972" id="Rectángulo 8" o:spid="_x0000_s1026" style="position:absolute;margin-left:113pt;margin-top:1.3pt;width:12.75pt;height: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ANqUl7dAAAACAEAAA8AAABkcnMvZG93bnJldi54bWxMj8FO&#10;wzAQRO9I/IO1SNyoE6NGkMapEKhIHNv0wm0Tb5NAbEex0wa+nuUEt1nNaPZNsV3sIM40hd47Dekq&#10;AUGu8aZ3rYZjtbt7ABEiOoODd6ThiwJsy+urAnPjL25P50NsBZe4kKOGLsYxlzI0HVkMKz+SY+/k&#10;J4uRz6mVZsILl9tBqiTJpMXe8YcOR3ruqPk8zFZD3asjfu+r18Q+7u7j21J9zO8vWt/eLE8bEJGW&#10;+BeGX3xGh5KZaj87E8SgQamMt0QWGQj21Tpdg6hZpCnIspD/B5Q/AAAA//8DAFBLAQItABQABgAI&#10;AAAAIQC2gziS/gAAAOEBAAATAAAAAAAAAAAAAAAAAAAAAABbQ29udGVudF9UeXBlc10ueG1sUEsB&#10;Ai0AFAAGAAgAAAAhADj9If/WAAAAlAEAAAsAAAAAAAAAAAAAAAAALwEAAF9yZWxzLy5yZWxzUEsB&#10;Ai0AFAAGAAgAAAAhAPfUiLUiAgAAPQQAAA4AAAAAAAAAAAAAAAAALgIAAGRycy9lMm9Eb2MueG1s&#10;UEsBAi0AFAAGAAgAAAAhAANqUl7dAAAACAEAAA8AAAAAAAAAAAAAAAAAfAQAAGRycy9kb3ducmV2&#10;LnhtbFBLBQYAAAAABAAEAPMAAACGBQAAAAA=&#10;"/>
                    </w:pict>
                  </mc:Fallback>
                </mc:AlternateContent>
              </w:r>
              <w:r>
                <w:rPr>
                  <w:rFonts w:ascii="Arial" w:eastAsia="Calibri" w:hAnsi="Arial" w:cs="Arial"/>
                  <w:noProof/>
                  <w:lang w:eastAsia="es-EC"/>
                </w:rPr>
                <mc:AlternateContent>
                  <mc:Choice Requires="wps">
                    <w:drawing>
                      <wp:anchor distT="0" distB="0" distL="114300" distR="114300" simplePos="0" relativeHeight="251660800" behindDoc="0" locked="0" layoutInCell="1" allowOverlap="1" wp14:anchorId="5EF15738" wp14:editId="6BABDAC1">
                        <wp:simplePos x="0" y="0"/>
                        <wp:positionH relativeFrom="column">
                          <wp:posOffset>161290</wp:posOffset>
                        </wp:positionH>
                        <wp:positionV relativeFrom="paragraph">
                          <wp:posOffset>13335</wp:posOffset>
                        </wp:positionV>
                        <wp:extent cx="161925" cy="117475"/>
                        <wp:effectExtent l="0" t="0" r="28575" b="158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0EA10" id="Rectángulo 3" o:spid="_x0000_s1026" style="position:absolute;margin-left:12.7pt;margin-top:1.05pt;width:12.75pt;height: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V1JAIAAD0EAAAOAAAAZHJzL2Uyb0RvYy54bWysU12O0zAQfkfiDpbfaZpuu91GTVerLouQ&#10;FlixcADXcRILx2PGbtNyG87CxRg73VJ+xAMiD5YnM/7mm29mltf7zrCdQq/BljwfjTlTVkKlbVPy&#10;jx/uXlxx5oOwlTBgVckPyvPr1fNny94VagItmEohIxDri96VvA3BFVnmZas64UfglCVnDdiJQCY2&#10;WYWiJ/TOZJPx+DLrASuHIJX39Pd2cPJVwq9rJcO7uvYqMFNy4hbSiencxDNbLUXRoHCtlkca4h9Y&#10;dEJbSnqCuhVBsC3q36A6LRE81GEkocugrrVUqQaqJh//Us1jK5xKtZA43p1k8v8PVr7dPSDTVckv&#10;OLOioxa9J9G+fbXN1gC7iAL1zhcU9+geMJbo3T3IT55ZWLfCNuoGEfpWiYpo5TE+++lBNDw9ZZv+&#10;DVSEL7YBklb7GrsISCqwfWrJ4dQStQ9M0s/8Ml9MZpxJcuX5fDqfpQyieHrs0IdXCjoWLyVHIp/A&#10;xe7eh0hGFE8hiTwYXd1pY5KBzWZtkO0ETcd6HL8juj8PM5b1JV/MiMffIRLCHyE6HWjMje5KfnXK&#10;I4qo2ktbpSEMQpvhTpSNPcoYlRs6sIHqQCoiDDNMO0eXFvALZz3Nb8n9561AxZl5bakTi3w6jQOf&#10;jOlsPiEDzz2bc4+wkqBKHjgbruswLMnWoW5aypSn2i3cUPdqnZSNnR1YHcnSjCbBj/sUl+DcTlE/&#10;tn71HQAA//8DAFBLAwQUAAYACAAAACEAk/NiKtoAAAAGAQAADwAAAGRycy9kb3ducmV2LnhtbEyO&#10;QU7DMBBF90jcwRokdtRu1ZQQ4lQICQRCXVA4gBNP44h4HNluG27PsILV6Ot/vXn1dvajOGFMQyAN&#10;y4UCgdQFO1Cv4fPj6aYEkbIha8ZAqOEbE2yby4vaVDac6R1P+9wLhlCqjAaX81RJmTqH3qRFmJC4&#10;O4ToTeYYe2mjOTPcj3Kl1EZ6MxB/cGbCR4fd1/7omVLu2inK9HLbFeWzf30Lrj+stb6+mh/uQWSc&#10;898YfvVZHRp2asORbBKjhlWx5iXfJQiuC3UHouWoNiCbWv7Xb34AAAD//wMAUEsBAi0AFAAGAAgA&#10;AAAhALaDOJL+AAAA4QEAABMAAAAAAAAAAAAAAAAAAAAAAFtDb250ZW50X1R5cGVzXS54bWxQSwEC&#10;LQAUAAYACAAAACEAOP0h/9YAAACUAQAACwAAAAAAAAAAAAAAAAAvAQAAX3JlbHMvLnJlbHNQSwEC&#10;LQAUAAYACAAAACEAKdkVdSQCAAA9BAAADgAAAAAAAAAAAAAAAAAuAgAAZHJzL2Uyb0RvYy54bWxQ&#10;SwECLQAUAAYACAAAACEAk/NiKtoAAAAGAQAADwAAAAAAAAAAAAAAAAB+BAAAZHJzL2Rvd25yZXYu&#10;eG1sUEsFBgAAAAAEAAQA8wAAAIUFAAAAAA==&#10;" fillcolor="#c00000"/>
                    </w:pict>
                  </mc:Fallback>
                </mc:AlternateContent>
              </w:r>
            </w:p>
          </w:tc>
          <w:tc>
            <w:tcPr>
              <w:tcW w:w="3184" w:type="dxa"/>
              <w:vMerge/>
              <w:vAlign w:val="center"/>
            </w:tcPr>
            <w:p w14:paraId="4B7F0131" w14:textId="77777777" w:rsidR="00ED35AA" w:rsidRPr="00A25D33" w:rsidRDefault="00ED35AA" w:rsidP="00ED35AA">
              <w:pPr>
                <w:keepNext/>
                <w:numPr>
                  <w:ilvl w:val="5"/>
                  <w:numId w:val="0"/>
                </w:numPr>
                <w:ind w:left="1152" w:hanging="1152"/>
                <w:jc w:val="center"/>
                <w:outlineLvl w:val="5"/>
                <w:rPr>
                  <w:rFonts w:ascii="Arial" w:hAnsi="Arial" w:cs="Arial"/>
                  <w:b/>
                </w:rPr>
              </w:pPr>
            </w:p>
          </w:tc>
        </w:tr>
      </w:tbl>
      <w:p w14:paraId="587A26F2" w14:textId="3067671B" w:rsidR="00870867" w:rsidRDefault="002125B7">
        <w:pPr>
          <w:pStyle w:val="Encabezado"/>
        </w:pPr>
        <w:r>
          <w:pict w14:anchorId="5A0D7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516" o:spid="_x0000_s2052" type="#_x0000_t136" style="position:absolute;margin-left:0;margin-top:0;width:435.65pt;height:163.35pt;rotation:315;z-index:-251658752;mso-position-horizontal:center;mso-position-horizontal-relative:margin;mso-position-vertical:center;mso-position-vertical-relative:margin" o:allowincell="f" fillcolor="gray [1629]" stroked="f">
              <v:fill opacity=".5"/>
              <v:textpath style="font-family:&quot;Calibri Light&quot;;font-size:1pt" trim="t" fitpath="t" string="BORRADOR"/>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E21"/>
    <w:multiLevelType w:val="multilevel"/>
    <w:tmpl w:val="007F2E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CB0B56"/>
    <w:multiLevelType w:val="multilevel"/>
    <w:tmpl w:val="0CCB0B56"/>
    <w:lvl w:ilvl="0">
      <w:start w:val="1"/>
      <w:numFmt w:val="lowerLetter"/>
      <w:lvlText w:val="%1)"/>
      <w:lvlJc w:val="left"/>
      <w:pPr>
        <w:ind w:left="1353" w:hanging="360"/>
      </w:pPr>
      <w:rPr>
        <w:rFonts w:asciiTheme="minorHAnsi" w:hAnsiTheme="minorHAnsi" w:cstheme="minorHAnsi" w:hint="default"/>
        <w:color w:val="000000" w:themeColor="text1"/>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DA82787"/>
    <w:multiLevelType w:val="multilevel"/>
    <w:tmpl w:val="0DA82787"/>
    <w:lvl w:ilvl="0">
      <w:start w:val="1"/>
      <w:numFmt w:val="decimal"/>
      <w:lvlText w:val="%1."/>
      <w:lvlJc w:val="left"/>
      <w:pPr>
        <w:ind w:left="360" w:hanging="360"/>
      </w:pPr>
      <w:rPr>
        <w:b/>
        <w:sz w:val="22"/>
        <w:szCs w:val="22"/>
      </w:rPr>
    </w:lvl>
    <w:lvl w:ilvl="1">
      <w:start w:val="1"/>
      <w:numFmt w:val="decimal"/>
      <w:lvlText w:val="%1.%2."/>
      <w:lvlJc w:val="left"/>
      <w:pPr>
        <w:ind w:left="43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D7D38"/>
    <w:multiLevelType w:val="multilevel"/>
    <w:tmpl w:val="158D7D38"/>
    <w:lvl w:ilvl="0">
      <w:start w:val="1"/>
      <w:numFmt w:val="lowerLett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 w15:restartNumberingAfterBreak="0">
    <w:nsid w:val="1915626E"/>
    <w:multiLevelType w:val="hybridMultilevel"/>
    <w:tmpl w:val="05722128"/>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5" w15:restartNumberingAfterBreak="0">
    <w:nsid w:val="1D91757C"/>
    <w:multiLevelType w:val="multilevel"/>
    <w:tmpl w:val="1D91757C"/>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8A4E3D"/>
    <w:multiLevelType w:val="hybridMultilevel"/>
    <w:tmpl w:val="DC82233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2AE1C7D"/>
    <w:multiLevelType w:val="multilevel"/>
    <w:tmpl w:val="22AE1C7D"/>
    <w:lvl w:ilvl="0">
      <w:start w:val="1"/>
      <w:numFmt w:val="lowerLett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 w15:restartNumberingAfterBreak="0">
    <w:nsid w:val="350F4E91"/>
    <w:multiLevelType w:val="multilevel"/>
    <w:tmpl w:val="350F4E9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33A4EC5"/>
    <w:multiLevelType w:val="multilevel"/>
    <w:tmpl w:val="433A4EC5"/>
    <w:lvl w:ilvl="0">
      <w:start w:val="1"/>
      <w:numFmt w:val="bullet"/>
      <w:lvlText w:val=""/>
      <w:lvlJc w:val="left"/>
      <w:pPr>
        <w:tabs>
          <w:tab w:val="left" w:pos="720"/>
        </w:tabs>
        <w:ind w:left="720" w:hanging="360"/>
      </w:pPr>
      <w:rPr>
        <w:rFonts w:ascii="Wingdings" w:hAnsi="Wingdings" w:hint="default"/>
      </w:rPr>
    </w:lvl>
    <w:lvl w:ilvl="1">
      <w:start w:val="1"/>
      <w:numFmt w:val="lowerLetter"/>
      <w:lvlText w:val="%2)"/>
      <w:lvlJc w:val="left"/>
      <w:pPr>
        <w:ind w:left="8014"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8C73E1B"/>
    <w:multiLevelType w:val="multilevel"/>
    <w:tmpl w:val="48C73E1B"/>
    <w:lvl w:ilvl="0">
      <w:start w:val="7"/>
      <w:numFmt w:val="decimal"/>
      <w:lvlText w:val="%1"/>
      <w:lvlJc w:val="left"/>
      <w:pPr>
        <w:ind w:left="525" w:hanging="525"/>
      </w:pPr>
      <w:rPr>
        <w:rFonts w:hint="default"/>
      </w:rPr>
    </w:lvl>
    <w:lvl w:ilvl="1">
      <w:start w:val="9"/>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CEC3AB5"/>
    <w:multiLevelType w:val="hybridMultilevel"/>
    <w:tmpl w:val="72409784"/>
    <w:lvl w:ilvl="0" w:tplc="37E262B6">
      <w:start w:val="1"/>
      <w:numFmt w:val="lowerLetter"/>
      <w:lvlText w:val="%1."/>
      <w:lvlJc w:val="left"/>
      <w:pPr>
        <w:ind w:left="720" w:hanging="360"/>
      </w:pPr>
      <w:rPr>
        <w:b/>
        <w:i/>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2" w15:restartNumberingAfterBreak="0">
    <w:nsid w:val="4D3C3E38"/>
    <w:multiLevelType w:val="multilevel"/>
    <w:tmpl w:val="4D3C3E38"/>
    <w:lvl w:ilvl="0">
      <w:start w:val="7"/>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DED39C3"/>
    <w:multiLevelType w:val="multilevel"/>
    <w:tmpl w:val="4DED39C3"/>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color w:val="auto"/>
      </w:rPr>
    </w:lvl>
    <w:lvl w:ilvl="2">
      <w:start w:val="1"/>
      <w:numFmt w:val="decimal"/>
      <w:lvlText w:val="%3."/>
      <w:lvlJc w:val="left"/>
      <w:pPr>
        <w:ind w:left="2508" w:hanging="360"/>
      </w:pPr>
      <w:rPr>
        <w:rFont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4F954FBE"/>
    <w:multiLevelType w:val="hybridMultilevel"/>
    <w:tmpl w:val="E8548D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0E64469"/>
    <w:multiLevelType w:val="multilevel"/>
    <w:tmpl w:val="50E64469"/>
    <w:lvl w:ilvl="0">
      <w:start w:val="1"/>
      <w:numFmt w:val="decimal"/>
      <w:lvlText w:val="%1."/>
      <w:lvlJc w:val="left"/>
      <w:pPr>
        <w:ind w:left="418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88A4149"/>
    <w:multiLevelType w:val="multilevel"/>
    <w:tmpl w:val="688A414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88E62B0"/>
    <w:multiLevelType w:val="multilevel"/>
    <w:tmpl w:val="688E62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593DC3"/>
    <w:multiLevelType w:val="multilevel"/>
    <w:tmpl w:val="69593DC3"/>
    <w:lvl w:ilvl="0">
      <w:start w:val="1"/>
      <w:numFmt w:val="decimal"/>
      <w:lvlText w:val="%1."/>
      <w:lvlJc w:val="left"/>
      <w:pPr>
        <w:ind w:left="501" w:hanging="360"/>
      </w:pPr>
      <w:rPr>
        <w:b/>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9" w15:restartNumberingAfterBreak="0">
    <w:nsid w:val="6F525DB4"/>
    <w:multiLevelType w:val="hybridMultilevel"/>
    <w:tmpl w:val="8E168B0C"/>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0EC625D"/>
    <w:multiLevelType w:val="multilevel"/>
    <w:tmpl w:val="70EC625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b/>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2A57E27"/>
    <w:multiLevelType w:val="multilevel"/>
    <w:tmpl w:val="72A57E27"/>
    <w:lvl w:ilvl="0">
      <w:start w:val="1"/>
      <w:numFmt w:val="bullet"/>
      <w:lvlText w:val=""/>
      <w:lvlJc w:val="left"/>
      <w:pPr>
        <w:ind w:left="2771" w:hanging="360"/>
      </w:pPr>
      <w:rPr>
        <w:rFonts w:ascii="Wingdings" w:hAnsi="Wingdings" w:hint="default"/>
        <w:color w:val="auto"/>
      </w:rPr>
    </w:lvl>
    <w:lvl w:ilvl="1">
      <w:start w:val="1"/>
      <w:numFmt w:val="bullet"/>
      <w:lvlText w:val="o"/>
      <w:lvlJc w:val="left"/>
      <w:pPr>
        <w:ind w:left="3491" w:hanging="360"/>
      </w:pPr>
      <w:rPr>
        <w:rFonts w:ascii="Courier New" w:hAnsi="Courier New" w:cs="Courier New" w:hint="default"/>
      </w:rPr>
    </w:lvl>
    <w:lvl w:ilvl="2">
      <w:start w:val="1"/>
      <w:numFmt w:val="bullet"/>
      <w:lvlText w:val=""/>
      <w:lvlJc w:val="left"/>
      <w:pPr>
        <w:ind w:left="4211" w:hanging="360"/>
      </w:pPr>
      <w:rPr>
        <w:rFonts w:ascii="Wingdings" w:hAnsi="Wingdings" w:hint="default"/>
      </w:rPr>
    </w:lvl>
    <w:lvl w:ilvl="3">
      <w:start w:val="1"/>
      <w:numFmt w:val="bullet"/>
      <w:lvlText w:val=""/>
      <w:lvlJc w:val="left"/>
      <w:pPr>
        <w:ind w:left="4931" w:hanging="360"/>
      </w:pPr>
      <w:rPr>
        <w:rFonts w:ascii="Symbol" w:hAnsi="Symbol" w:hint="default"/>
      </w:rPr>
    </w:lvl>
    <w:lvl w:ilvl="4">
      <w:start w:val="1"/>
      <w:numFmt w:val="bullet"/>
      <w:lvlText w:val="o"/>
      <w:lvlJc w:val="left"/>
      <w:pPr>
        <w:ind w:left="5651" w:hanging="360"/>
      </w:pPr>
      <w:rPr>
        <w:rFonts w:ascii="Courier New" w:hAnsi="Courier New" w:cs="Courier New" w:hint="default"/>
      </w:rPr>
    </w:lvl>
    <w:lvl w:ilvl="5">
      <w:start w:val="1"/>
      <w:numFmt w:val="bullet"/>
      <w:lvlText w:val=""/>
      <w:lvlJc w:val="left"/>
      <w:pPr>
        <w:ind w:left="6371" w:hanging="360"/>
      </w:pPr>
      <w:rPr>
        <w:rFonts w:ascii="Wingdings" w:hAnsi="Wingdings" w:hint="default"/>
      </w:rPr>
    </w:lvl>
    <w:lvl w:ilvl="6">
      <w:start w:val="1"/>
      <w:numFmt w:val="bullet"/>
      <w:lvlText w:val=""/>
      <w:lvlJc w:val="left"/>
      <w:pPr>
        <w:ind w:left="7091" w:hanging="360"/>
      </w:pPr>
      <w:rPr>
        <w:rFonts w:ascii="Symbol" w:hAnsi="Symbol" w:hint="default"/>
      </w:rPr>
    </w:lvl>
    <w:lvl w:ilvl="7">
      <w:start w:val="1"/>
      <w:numFmt w:val="bullet"/>
      <w:lvlText w:val="o"/>
      <w:lvlJc w:val="left"/>
      <w:pPr>
        <w:ind w:left="7811" w:hanging="360"/>
      </w:pPr>
      <w:rPr>
        <w:rFonts w:ascii="Courier New" w:hAnsi="Courier New" w:cs="Courier New" w:hint="default"/>
      </w:rPr>
    </w:lvl>
    <w:lvl w:ilvl="8">
      <w:start w:val="1"/>
      <w:numFmt w:val="bullet"/>
      <w:lvlText w:val=""/>
      <w:lvlJc w:val="left"/>
      <w:pPr>
        <w:ind w:left="8531" w:hanging="360"/>
      </w:pPr>
      <w:rPr>
        <w:rFonts w:ascii="Wingdings" w:hAnsi="Wingdings" w:hint="default"/>
      </w:rPr>
    </w:lvl>
  </w:abstractNum>
  <w:abstractNum w:abstractNumId="22" w15:restartNumberingAfterBreak="0">
    <w:nsid w:val="77681324"/>
    <w:multiLevelType w:val="multilevel"/>
    <w:tmpl w:val="77681324"/>
    <w:lvl w:ilvl="0">
      <w:start w:val="1"/>
      <w:numFmt w:val="lowerLetter"/>
      <w:lvlText w:val="%1)"/>
      <w:lvlJc w:val="left"/>
      <w:pPr>
        <w:ind w:left="1155" w:hanging="360"/>
      </w:p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23" w15:restartNumberingAfterBreak="0">
    <w:nsid w:val="78407EBE"/>
    <w:multiLevelType w:val="multilevel"/>
    <w:tmpl w:val="78407E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E553FA"/>
    <w:multiLevelType w:val="multilevel"/>
    <w:tmpl w:val="7BE55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A237BE"/>
    <w:multiLevelType w:val="multilevel"/>
    <w:tmpl w:val="7CA237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hint="default"/>
        <w:b/>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9"/>
  </w:num>
  <w:num w:numId="3">
    <w:abstractNumId w:val="17"/>
  </w:num>
  <w:num w:numId="4">
    <w:abstractNumId w:val="5"/>
  </w:num>
  <w:num w:numId="5">
    <w:abstractNumId w:val="13"/>
  </w:num>
  <w:num w:numId="6">
    <w:abstractNumId w:val="22"/>
  </w:num>
  <w:num w:numId="7">
    <w:abstractNumId w:val="1"/>
  </w:num>
  <w:num w:numId="8">
    <w:abstractNumId w:val="16"/>
  </w:num>
  <w:num w:numId="9">
    <w:abstractNumId w:val="23"/>
  </w:num>
  <w:num w:numId="10">
    <w:abstractNumId w:val="25"/>
  </w:num>
  <w:num w:numId="11">
    <w:abstractNumId w:val="20"/>
  </w:num>
  <w:num w:numId="12">
    <w:abstractNumId w:val="10"/>
  </w:num>
  <w:num w:numId="13">
    <w:abstractNumId w:val="8"/>
  </w:num>
  <w:num w:numId="14">
    <w:abstractNumId w:val="18"/>
  </w:num>
  <w:num w:numId="15">
    <w:abstractNumId w:val="15"/>
  </w:num>
  <w:num w:numId="16">
    <w:abstractNumId w:val="7"/>
  </w:num>
  <w:num w:numId="17">
    <w:abstractNumId w:val="21"/>
  </w:num>
  <w:num w:numId="18">
    <w:abstractNumId w:val="3"/>
  </w:num>
  <w:num w:numId="19">
    <w:abstractNumId w:val="12"/>
  </w:num>
  <w:num w:numId="20">
    <w:abstractNumId w:val="0"/>
  </w:num>
  <w:num w:numId="21">
    <w:abstractNumId w:val="24"/>
  </w:num>
  <w:num w:numId="22">
    <w:abstractNumId w:val="4"/>
  </w:num>
  <w:num w:numId="23">
    <w:abstractNumId w:val="1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8D"/>
    <w:rsid w:val="00001AC5"/>
    <w:rsid w:val="00002411"/>
    <w:rsid w:val="00004124"/>
    <w:rsid w:val="000045B3"/>
    <w:rsid w:val="00015140"/>
    <w:rsid w:val="0001777F"/>
    <w:rsid w:val="000235C2"/>
    <w:rsid w:val="000256E8"/>
    <w:rsid w:val="00026EEF"/>
    <w:rsid w:val="0003306E"/>
    <w:rsid w:val="00035BAE"/>
    <w:rsid w:val="00036C79"/>
    <w:rsid w:val="0004012E"/>
    <w:rsid w:val="00046D31"/>
    <w:rsid w:val="00053AF1"/>
    <w:rsid w:val="000573E8"/>
    <w:rsid w:val="00063AAA"/>
    <w:rsid w:val="00071B3D"/>
    <w:rsid w:val="000721E4"/>
    <w:rsid w:val="00080615"/>
    <w:rsid w:val="000828D9"/>
    <w:rsid w:val="000836C3"/>
    <w:rsid w:val="000845FA"/>
    <w:rsid w:val="00086F4F"/>
    <w:rsid w:val="000921B1"/>
    <w:rsid w:val="000A2CDF"/>
    <w:rsid w:val="000A365A"/>
    <w:rsid w:val="000A4860"/>
    <w:rsid w:val="000A6075"/>
    <w:rsid w:val="000A632E"/>
    <w:rsid w:val="000B27B3"/>
    <w:rsid w:val="000B5C47"/>
    <w:rsid w:val="000C51DE"/>
    <w:rsid w:val="000C76F4"/>
    <w:rsid w:val="000D04F8"/>
    <w:rsid w:val="000D1F44"/>
    <w:rsid w:val="000D6AE9"/>
    <w:rsid w:val="000D7F38"/>
    <w:rsid w:val="000E26F0"/>
    <w:rsid w:val="000E6F1A"/>
    <w:rsid w:val="000F3247"/>
    <w:rsid w:val="000F3F27"/>
    <w:rsid w:val="0010078A"/>
    <w:rsid w:val="00101D90"/>
    <w:rsid w:val="00106612"/>
    <w:rsid w:val="00111092"/>
    <w:rsid w:val="00114737"/>
    <w:rsid w:val="00117C6E"/>
    <w:rsid w:val="00123BE2"/>
    <w:rsid w:val="00126AD4"/>
    <w:rsid w:val="00131EAD"/>
    <w:rsid w:val="0013437F"/>
    <w:rsid w:val="00135377"/>
    <w:rsid w:val="00140370"/>
    <w:rsid w:val="00144752"/>
    <w:rsid w:val="0014586B"/>
    <w:rsid w:val="001466B6"/>
    <w:rsid w:val="00146E78"/>
    <w:rsid w:val="00152A1B"/>
    <w:rsid w:val="00153D7B"/>
    <w:rsid w:val="00155BFE"/>
    <w:rsid w:val="001566FD"/>
    <w:rsid w:val="001568FA"/>
    <w:rsid w:val="001620EF"/>
    <w:rsid w:val="001735DE"/>
    <w:rsid w:val="00174173"/>
    <w:rsid w:val="00175691"/>
    <w:rsid w:val="001761C8"/>
    <w:rsid w:val="001779A7"/>
    <w:rsid w:val="00177EAD"/>
    <w:rsid w:val="00181EA5"/>
    <w:rsid w:val="00183D54"/>
    <w:rsid w:val="0018651A"/>
    <w:rsid w:val="00186C97"/>
    <w:rsid w:val="00187847"/>
    <w:rsid w:val="0019063F"/>
    <w:rsid w:val="00193F55"/>
    <w:rsid w:val="0019534B"/>
    <w:rsid w:val="0019698A"/>
    <w:rsid w:val="001A6D15"/>
    <w:rsid w:val="001B153A"/>
    <w:rsid w:val="001B1766"/>
    <w:rsid w:val="001B6747"/>
    <w:rsid w:val="001B7086"/>
    <w:rsid w:val="001B7323"/>
    <w:rsid w:val="001C1BEF"/>
    <w:rsid w:val="001C2826"/>
    <w:rsid w:val="001C347C"/>
    <w:rsid w:val="001C466C"/>
    <w:rsid w:val="001D0AE0"/>
    <w:rsid w:val="001D5C56"/>
    <w:rsid w:val="001D7B6B"/>
    <w:rsid w:val="001F1B81"/>
    <w:rsid w:val="001F1D17"/>
    <w:rsid w:val="001F439E"/>
    <w:rsid w:val="001F681D"/>
    <w:rsid w:val="00201F69"/>
    <w:rsid w:val="00205DC4"/>
    <w:rsid w:val="00210C1D"/>
    <w:rsid w:val="002125B7"/>
    <w:rsid w:val="0021540C"/>
    <w:rsid w:val="00221ED2"/>
    <w:rsid w:val="00232997"/>
    <w:rsid w:val="00235E0A"/>
    <w:rsid w:val="00241052"/>
    <w:rsid w:val="00242267"/>
    <w:rsid w:val="002439F1"/>
    <w:rsid w:val="002473DD"/>
    <w:rsid w:val="00247575"/>
    <w:rsid w:val="00253C75"/>
    <w:rsid w:val="00254315"/>
    <w:rsid w:val="0025451B"/>
    <w:rsid w:val="00261860"/>
    <w:rsid w:val="002621AF"/>
    <w:rsid w:val="00265884"/>
    <w:rsid w:val="00265B8C"/>
    <w:rsid w:val="00270E20"/>
    <w:rsid w:val="002747C8"/>
    <w:rsid w:val="0027528C"/>
    <w:rsid w:val="002813CE"/>
    <w:rsid w:val="00282569"/>
    <w:rsid w:val="002903E1"/>
    <w:rsid w:val="00292F26"/>
    <w:rsid w:val="002A2248"/>
    <w:rsid w:val="002A76EF"/>
    <w:rsid w:val="002B15B1"/>
    <w:rsid w:val="002B1981"/>
    <w:rsid w:val="002B22E4"/>
    <w:rsid w:val="002B7FD2"/>
    <w:rsid w:val="002C393D"/>
    <w:rsid w:val="002C3DC1"/>
    <w:rsid w:val="002C7121"/>
    <w:rsid w:val="002D5899"/>
    <w:rsid w:val="002D6A7A"/>
    <w:rsid w:val="002E27C4"/>
    <w:rsid w:val="002E501B"/>
    <w:rsid w:val="002E650A"/>
    <w:rsid w:val="002F2DD3"/>
    <w:rsid w:val="0030193B"/>
    <w:rsid w:val="00303E5F"/>
    <w:rsid w:val="00306DD1"/>
    <w:rsid w:val="003103FA"/>
    <w:rsid w:val="00311908"/>
    <w:rsid w:val="00314D9C"/>
    <w:rsid w:val="0031698C"/>
    <w:rsid w:val="0031760C"/>
    <w:rsid w:val="00326DCF"/>
    <w:rsid w:val="003308DC"/>
    <w:rsid w:val="00340A8B"/>
    <w:rsid w:val="003412BC"/>
    <w:rsid w:val="003434AE"/>
    <w:rsid w:val="00344434"/>
    <w:rsid w:val="00344811"/>
    <w:rsid w:val="00346815"/>
    <w:rsid w:val="00351EBD"/>
    <w:rsid w:val="0035281E"/>
    <w:rsid w:val="0035337C"/>
    <w:rsid w:val="003558F8"/>
    <w:rsid w:val="003571B3"/>
    <w:rsid w:val="00360253"/>
    <w:rsid w:val="003605A5"/>
    <w:rsid w:val="00361742"/>
    <w:rsid w:val="00361EB3"/>
    <w:rsid w:val="00362A99"/>
    <w:rsid w:val="00365A20"/>
    <w:rsid w:val="00365E7B"/>
    <w:rsid w:val="003676CE"/>
    <w:rsid w:val="00367C75"/>
    <w:rsid w:val="00367DB9"/>
    <w:rsid w:val="0037643F"/>
    <w:rsid w:val="003857B0"/>
    <w:rsid w:val="00387B45"/>
    <w:rsid w:val="00392BE9"/>
    <w:rsid w:val="003A0418"/>
    <w:rsid w:val="003A4846"/>
    <w:rsid w:val="003B2855"/>
    <w:rsid w:val="003B2A9B"/>
    <w:rsid w:val="003B677D"/>
    <w:rsid w:val="003B75E7"/>
    <w:rsid w:val="003C0193"/>
    <w:rsid w:val="003C068B"/>
    <w:rsid w:val="003C1317"/>
    <w:rsid w:val="003C18DC"/>
    <w:rsid w:val="003C4329"/>
    <w:rsid w:val="003C4586"/>
    <w:rsid w:val="003C4A3E"/>
    <w:rsid w:val="003D31C8"/>
    <w:rsid w:val="003D6DC6"/>
    <w:rsid w:val="003E14FA"/>
    <w:rsid w:val="003E33B0"/>
    <w:rsid w:val="003E3DD1"/>
    <w:rsid w:val="003E530B"/>
    <w:rsid w:val="003E670E"/>
    <w:rsid w:val="003E78B9"/>
    <w:rsid w:val="003F0668"/>
    <w:rsid w:val="003F18D9"/>
    <w:rsid w:val="003F1D88"/>
    <w:rsid w:val="003F3589"/>
    <w:rsid w:val="003F36FA"/>
    <w:rsid w:val="00400A8C"/>
    <w:rsid w:val="00400D60"/>
    <w:rsid w:val="00402769"/>
    <w:rsid w:val="00413532"/>
    <w:rsid w:val="0041545C"/>
    <w:rsid w:val="00421148"/>
    <w:rsid w:val="004300BE"/>
    <w:rsid w:val="004303E2"/>
    <w:rsid w:val="00431013"/>
    <w:rsid w:val="00437DDB"/>
    <w:rsid w:val="004416CB"/>
    <w:rsid w:val="00446AE7"/>
    <w:rsid w:val="00452DB0"/>
    <w:rsid w:val="00453548"/>
    <w:rsid w:val="00454308"/>
    <w:rsid w:val="0045434C"/>
    <w:rsid w:val="004610FA"/>
    <w:rsid w:val="00461186"/>
    <w:rsid w:val="00462A67"/>
    <w:rsid w:val="00462E5B"/>
    <w:rsid w:val="00463DD0"/>
    <w:rsid w:val="00464380"/>
    <w:rsid w:val="00465B53"/>
    <w:rsid w:val="00466EA2"/>
    <w:rsid w:val="00470829"/>
    <w:rsid w:val="00474390"/>
    <w:rsid w:val="00474E1F"/>
    <w:rsid w:val="00477F0C"/>
    <w:rsid w:val="0048348D"/>
    <w:rsid w:val="00486981"/>
    <w:rsid w:val="00487523"/>
    <w:rsid w:val="00490B33"/>
    <w:rsid w:val="0049386D"/>
    <w:rsid w:val="00495985"/>
    <w:rsid w:val="004A4361"/>
    <w:rsid w:val="004B1C9C"/>
    <w:rsid w:val="004B4576"/>
    <w:rsid w:val="004B568E"/>
    <w:rsid w:val="004B6AAB"/>
    <w:rsid w:val="004B7E1B"/>
    <w:rsid w:val="004B7EF2"/>
    <w:rsid w:val="004C10FA"/>
    <w:rsid w:val="004C1B97"/>
    <w:rsid w:val="004C3282"/>
    <w:rsid w:val="004C3CCE"/>
    <w:rsid w:val="004D1A6B"/>
    <w:rsid w:val="004D2BC3"/>
    <w:rsid w:val="004E0883"/>
    <w:rsid w:val="004E38BA"/>
    <w:rsid w:val="004F001B"/>
    <w:rsid w:val="004F196D"/>
    <w:rsid w:val="00500DCB"/>
    <w:rsid w:val="005014F6"/>
    <w:rsid w:val="00501A7A"/>
    <w:rsid w:val="005026BF"/>
    <w:rsid w:val="00505F8A"/>
    <w:rsid w:val="00506787"/>
    <w:rsid w:val="00512A9F"/>
    <w:rsid w:val="00516043"/>
    <w:rsid w:val="00523788"/>
    <w:rsid w:val="00526A76"/>
    <w:rsid w:val="00527EA1"/>
    <w:rsid w:val="0053092C"/>
    <w:rsid w:val="00531AB8"/>
    <w:rsid w:val="00532111"/>
    <w:rsid w:val="005337F0"/>
    <w:rsid w:val="00541934"/>
    <w:rsid w:val="005464A4"/>
    <w:rsid w:val="00546DF9"/>
    <w:rsid w:val="00553243"/>
    <w:rsid w:val="00555BA4"/>
    <w:rsid w:val="005576F5"/>
    <w:rsid w:val="00563630"/>
    <w:rsid w:val="0056605B"/>
    <w:rsid w:val="00571317"/>
    <w:rsid w:val="005717F6"/>
    <w:rsid w:val="00571B25"/>
    <w:rsid w:val="00573514"/>
    <w:rsid w:val="005752AA"/>
    <w:rsid w:val="005759A9"/>
    <w:rsid w:val="00577A1F"/>
    <w:rsid w:val="00577A62"/>
    <w:rsid w:val="00580E9F"/>
    <w:rsid w:val="0058200B"/>
    <w:rsid w:val="005871DE"/>
    <w:rsid w:val="00587356"/>
    <w:rsid w:val="005878E6"/>
    <w:rsid w:val="005878F9"/>
    <w:rsid w:val="0059010C"/>
    <w:rsid w:val="005911A9"/>
    <w:rsid w:val="00591A97"/>
    <w:rsid w:val="00592011"/>
    <w:rsid w:val="005950EC"/>
    <w:rsid w:val="005A46B4"/>
    <w:rsid w:val="005A4A60"/>
    <w:rsid w:val="005A5501"/>
    <w:rsid w:val="005B51C5"/>
    <w:rsid w:val="005B609E"/>
    <w:rsid w:val="005B7B38"/>
    <w:rsid w:val="005C2EE5"/>
    <w:rsid w:val="005C49B1"/>
    <w:rsid w:val="005C4BE4"/>
    <w:rsid w:val="005C5165"/>
    <w:rsid w:val="005C52D4"/>
    <w:rsid w:val="005C71CF"/>
    <w:rsid w:val="005D0BC3"/>
    <w:rsid w:val="005D0FA9"/>
    <w:rsid w:val="005D150D"/>
    <w:rsid w:val="005D1CAE"/>
    <w:rsid w:val="005D5DEC"/>
    <w:rsid w:val="005D7A61"/>
    <w:rsid w:val="005E060F"/>
    <w:rsid w:val="005E0BA2"/>
    <w:rsid w:val="005E1925"/>
    <w:rsid w:val="005E2590"/>
    <w:rsid w:val="005F1155"/>
    <w:rsid w:val="005F3CB7"/>
    <w:rsid w:val="005F707C"/>
    <w:rsid w:val="005F7615"/>
    <w:rsid w:val="005F7698"/>
    <w:rsid w:val="00604522"/>
    <w:rsid w:val="00606381"/>
    <w:rsid w:val="006073DA"/>
    <w:rsid w:val="00611655"/>
    <w:rsid w:val="00617DE4"/>
    <w:rsid w:val="00617EE4"/>
    <w:rsid w:val="00622868"/>
    <w:rsid w:val="006256DF"/>
    <w:rsid w:val="00630B08"/>
    <w:rsid w:val="006326EE"/>
    <w:rsid w:val="00634907"/>
    <w:rsid w:val="006479EE"/>
    <w:rsid w:val="0065280E"/>
    <w:rsid w:val="006538BD"/>
    <w:rsid w:val="006541C9"/>
    <w:rsid w:val="006564AF"/>
    <w:rsid w:val="00660257"/>
    <w:rsid w:val="00662599"/>
    <w:rsid w:val="00662B0D"/>
    <w:rsid w:val="006669E0"/>
    <w:rsid w:val="00674F21"/>
    <w:rsid w:val="006764DD"/>
    <w:rsid w:val="00680144"/>
    <w:rsid w:val="006824F9"/>
    <w:rsid w:val="00682968"/>
    <w:rsid w:val="006831B9"/>
    <w:rsid w:val="00687E35"/>
    <w:rsid w:val="006921BC"/>
    <w:rsid w:val="00696004"/>
    <w:rsid w:val="0069601F"/>
    <w:rsid w:val="0069648C"/>
    <w:rsid w:val="00697D66"/>
    <w:rsid w:val="006A1326"/>
    <w:rsid w:val="006A29E5"/>
    <w:rsid w:val="006A7668"/>
    <w:rsid w:val="006B025B"/>
    <w:rsid w:val="006B3004"/>
    <w:rsid w:val="006B4695"/>
    <w:rsid w:val="006C01C2"/>
    <w:rsid w:val="006C1DEA"/>
    <w:rsid w:val="006C2F7F"/>
    <w:rsid w:val="006C417F"/>
    <w:rsid w:val="006C4CC2"/>
    <w:rsid w:val="006C6F07"/>
    <w:rsid w:val="006D00A2"/>
    <w:rsid w:val="006D730B"/>
    <w:rsid w:val="006E2F77"/>
    <w:rsid w:val="006E53BA"/>
    <w:rsid w:val="006E62FB"/>
    <w:rsid w:val="006F0438"/>
    <w:rsid w:val="006F0D96"/>
    <w:rsid w:val="006F5B71"/>
    <w:rsid w:val="00704FF8"/>
    <w:rsid w:val="007056EC"/>
    <w:rsid w:val="007064DF"/>
    <w:rsid w:val="00706E05"/>
    <w:rsid w:val="00715CBC"/>
    <w:rsid w:val="0071716A"/>
    <w:rsid w:val="007210FF"/>
    <w:rsid w:val="0072159C"/>
    <w:rsid w:val="007215A1"/>
    <w:rsid w:val="00724250"/>
    <w:rsid w:val="00724C44"/>
    <w:rsid w:val="00734A68"/>
    <w:rsid w:val="00740673"/>
    <w:rsid w:val="00743AF1"/>
    <w:rsid w:val="00745112"/>
    <w:rsid w:val="00750A4D"/>
    <w:rsid w:val="00750AC8"/>
    <w:rsid w:val="007574E4"/>
    <w:rsid w:val="007608E6"/>
    <w:rsid w:val="00762DDB"/>
    <w:rsid w:val="00764B33"/>
    <w:rsid w:val="00764EB8"/>
    <w:rsid w:val="007708A7"/>
    <w:rsid w:val="007746AC"/>
    <w:rsid w:val="00776B4E"/>
    <w:rsid w:val="00782441"/>
    <w:rsid w:val="0078407E"/>
    <w:rsid w:val="00784C28"/>
    <w:rsid w:val="00790EC4"/>
    <w:rsid w:val="0079417C"/>
    <w:rsid w:val="00794CF9"/>
    <w:rsid w:val="007955AE"/>
    <w:rsid w:val="00797287"/>
    <w:rsid w:val="007A12C2"/>
    <w:rsid w:val="007A16B8"/>
    <w:rsid w:val="007A3553"/>
    <w:rsid w:val="007A4AF6"/>
    <w:rsid w:val="007A4B68"/>
    <w:rsid w:val="007A5B16"/>
    <w:rsid w:val="007B1237"/>
    <w:rsid w:val="007B25DC"/>
    <w:rsid w:val="007B3127"/>
    <w:rsid w:val="007B67ED"/>
    <w:rsid w:val="007C44D4"/>
    <w:rsid w:val="007C49F5"/>
    <w:rsid w:val="007C7B02"/>
    <w:rsid w:val="007D267E"/>
    <w:rsid w:val="007D481D"/>
    <w:rsid w:val="007D5B6F"/>
    <w:rsid w:val="007E36ED"/>
    <w:rsid w:val="007E503B"/>
    <w:rsid w:val="007E6D34"/>
    <w:rsid w:val="007F0160"/>
    <w:rsid w:val="007F459D"/>
    <w:rsid w:val="007F561C"/>
    <w:rsid w:val="0080097A"/>
    <w:rsid w:val="00801804"/>
    <w:rsid w:val="00804A95"/>
    <w:rsid w:val="00806CF7"/>
    <w:rsid w:val="008221ED"/>
    <w:rsid w:val="00822568"/>
    <w:rsid w:val="00823C05"/>
    <w:rsid w:val="00823C69"/>
    <w:rsid w:val="00824973"/>
    <w:rsid w:val="00825F8C"/>
    <w:rsid w:val="00826378"/>
    <w:rsid w:val="0083694F"/>
    <w:rsid w:val="008369C6"/>
    <w:rsid w:val="00837595"/>
    <w:rsid w:val="0084427A"/>
    <w:rsid w:val="008462FA"/>
    <w:rsid w:val="00850926"/>
    <w:rsid w:val="00852593"/>
    <w:rsid w:val="00860DEF"/>
    <w:rsid w:val="00862E96"/>
    <w:rsid w:val="00870867"/>
    <w:rsid w:val="00874C8F"/>
    <w:rsid w:val="00875654"/>
    <w:rsid w:val="0088347C"/>
    <w:rsid w:val="00883579"/>
    <w:rsid w:val="008877C8"/>
    <w:rsid w:val="00890FD0"/>
    <w:rsid w:val="00891A95"/>
    <w:rsid w:val="008947DF"/>
    <w:rsid w:val="0089728F"/>
    <w:rsid w:val="008A32CA"/>
    <w:rsid w:val="008A6259"/>
    <w:rsid w:val="008A7364"/>
    <w:rsid w:val="008B2CD6"/>
    <w:rsid w:val="008B2EE7"/>
    <w:rsid w:val="008B34F6"/>
    <w:rsid w:val="008B4905"/>
    <w:rsid w:val="008B7860"/>
    <w:rsid w:val="008C0566"/>
    <w:rsid w:val="008C1952"/>
    <w:rsid w:val="008C1CFE"/>
    <w:rsid w:val="008C3B83"/>
    <w:rsid w:val="008C7127"/>
    <w:rsid w:val="008D0759"/>
    <w:rsid w:val="008E1B37"/>
    <w:rsid w:val="008E5665"/>
    <w:rsid w:val="008E6BB3"/>
    <w:rsid w:val="008F57B2"/>
    <w:rsid w:val="00901276"/>
    <w:rsid w:val="009022BC"/>
    <w:rsid w:val="00902FDA"/>
    <w:rsid w:val="00906D6A"/>
    <w:rsid w:val="0091384E"/>
    <w:rsid w:val="00916C8C"/>
    <w:rsid w:val="00923597"/>
    <w:rsid w:val="00924F47"/>
    <w:rsid w:val="00934D1C"/>
    <w:rsid w:val="00934D98"/>
    <w:rsid w:val="00935382"/>
    <w:rsid w:val="0093694E"/>
    <w:rsid w:val="00942ED4"/>
    <w:rsid w:val="0094348A"/>
    <w:rsid w:val="009456EE"/>
    <w:rsid w:val="009530D7"/>
    <w:rsid w:val="00954D18"/>
    <w:rsid w:val="00954FF0"/>
    <w:rsid w:val="009562A7"/>
    <w:rsid w:val="00966E14"/>
    <w:rsid w:val="009724C4"/>
    <w:rsid w:val="00972849"/>
    <w:rsid w:val="009746FE"/>
    <w:rsid w:val="00980F80"/>
    <w:rsid w:val="00983016"/>
    <w:rsid w:val="0098309A"/>
    <w:rsid w:val="00992CB5"/>
    <w:rsid w:val="00992D82"/>
    <w:rsid w:val="0099422F"/>
    <w:rsid w:val="00995247"/>
    <w:rsid w:val="00996E97"/>
    <w:rsid w:val="0099749A"/>
    <w:rsid w:val="009A0578"/>
    <w:rsid w:val="009A0860"/>
    <w:rsid w:val="009A1601"/>
    <w:rsid w:val="009A2E52"/>
    <w:rsid w:val="009A45C2"/>
    <w:rsid w:val="009B26C6"/>
    <w:rsid w:val="009B2CD4"/>
    <w:rsid w:val="009B31A9"/>
    <w:rsid w:val="009C0495"/>
    <w:rsid w:val="009C2C2F"/>
    <w:rsid w:val="009C4604"/>
    <w:rsid w:val="009C6AAC"/>
    <w:rsid w:val="009C7CED"/>
    <w:rsid w:val="009D013D"/>
    <w:rsid w:val="009D761F"/>
    <w:rsid w:val="009F0FD8"/>
    <w:rsid w:val="009F3846"/>
    <w:rsid w:val="009F431E"/>
    <w:rsid w:val="00A01303"/>
    <w:rsid w:val="00A01EEF"/>
    <w:rsid w:val="00A07202"/>
    <w:rsid w:val="00A10FE9"/>
    <w:rsid w:val="00A12226"/>
    <w:rsid w:val="00A12AB9"/>
    <w:rsid w:val="00A13927"/>
    <w:rsid w:val="00A277DC"/>
    <w:rsid w:val="00A347CA"/>
    <w:rsid w:val="00A36FF0"/>
    <w:rsid w:val="00A37A3B"/>
    <w:rsid w:val="00A37A87"/>
    <w:rsid w:val="00A401C0"/>
    <w:rsid w:val="00A40388"/>
    <w:rsid w:val="00A40471"/>
    <w:rsid w:val="00A428C2"/>
    <w:rsid w:val="00A43DD7"/>
    <w:rsid w:val="00A46E09"/>
    <w:rsid w:val="00A47366"/>
    <w:rsid w:val="00A50D67"/>
    <w:rsid w:val="00A51701"/>
    <w:rsid w:val="00A5181A"/>
    <w:rsid w:val="00A51B74"/>
    <w:rsid w:val="00A57DF4"/>
    <w:rsid w:val="00A57E0A"/>
    <w:rsid w:val="00A62557"/>
    <w:rsid w:val="00A63F78"/>
    <w:rsid w:val="00A651D4"/>
    <w:rsid w:val="00A67422"/>
    <w:rsid w:val="00A70B49"/>
    <w:rsid w:val="00A73A52"/>
    <w:rsid w:val="00A753FD"/>
    <w:rsid w:val="00A76CC6"/>
    <w:rsid w:val="00A777B5"/>
    <w:rsid w:val="00A80F92"/>
    <w:rsid w:val="00A84A21"/>
    <w:rsid w:val="00A859B6"/>
    <w:rsid w:val="00A87899"/>
    <w:rsid w:val="00A87CB3"/>
    <w:rsid w:val="00A90AE3"/>
    <w:rsid w:val="00A91447"/>
    <w:rsid w:val="00A91BE8"/>
    <w:rsid w:val="00A938F8"/>
    <w:rsid w:val="00A94D9F"/>
    <w:rsid w:val="00AA0861"/>
    <w:rsid w:val="00AA2DB3"/>
    <w:rsid w:val="00AA5BAE"/>
    <w:rsid w:val="00AA5EC3"/>
    <w:rsid w:val="00AB046E"/>
    <w:rsid w:val="00AB598F"/>
    <w:rsid w:val="00AC3B5C"/>
    <w:rsid w:val="00AC40DF"/>
    <w:rsid w:val="00AC779E"/>
    <w:rsid w:val="00AD159F"/>
    <w:rsid w:val="00AD1A5C"/>
    <w:rsid w:val="00AD2C60"/>
    <w:rsid w:val="00AD317D"/>
    <w:rsid w:val="00AD52F6"/>
    <w:rsid w:val="00AD5B65"/>
    <w:rsid w:val="00AE2790"/>
    <w:rsid w:val="00AE34C6"/>
    <w:rsid w:val="00AE496B"/>
    <w:rsid w:val="00AE5123"/>
    <w:rsid w:val="00AE7BBB"/>
    <w:rsid w:val="00AF5A7D"/>
    <w:rsid w:val="00B00743"/>
    <w:rsid w:val="00B02E22"/>
    <w:rsid w:val="00B037D4"/>
    <w:rsid w:val="00B11C5D"/>
    <w:rsid w:val="00B12E13"/>
    <w:rsid w:val="00B30C05"/>
    <w:rsid w:val="00B3238E"/>
    <w:rsid w:val="00B3358E"/>
    <w:rsid w:val="00B3400F"/>
    <w:rsid w:val="00B41F9C"/>
    <w:rsid w:val="00B44747"/>
    <w:rsid w:val="00B45527"/>
    <w:rsid w:val="00B5015A"/>
    <w:rsid w:val="00B51041"/>
    <w:rsid w:val="00B5537D"/>
    <w:rsid w:val="00B61DC2"/>
    <w:rsid w:val="00B6336C"/>
    <w:rsid w:val="00B67D64"/>
    <w:rsid w:val="00B70D3E"/>
    <w:rsid w:val="00B75BC4"/>
    <w:rsid w:val="00B83015"/>
    <w:rsid w:val="00B835C4"/>
    <w:rsid w:val="00B9329E"/>
    <w:rsid w:val="00B93973"/>
    <w:rsid w:val="00B9505F"/>
    <w:rsid w:val="00BA3279"/>
    <w:rsid w:val="00BA482C"/>
    <w:rsid w:val="00BB17B4"/>
    <w:rsid w:val="00BB389F"/>
    <w:rsid w:val="00BB3965"/>
    <w:rsid w:val="00BC2266"/>
    <w:rsid w:val="00BC44AB"/>
    <w:rsid w:val="00BC71DD"/>
    <w:rsid w:val="00BD1AB4"/>
    <w:rsid w:val="00BD4872"/>
    <w:rsid w:val="00BD6626"/>
    <w:rsid w:val="00BE01CB"/>
    <w:rsid w:val="00BE3E90"/>
    <w:rsid w:val="00BE43FA"/>
    <w:rsid w:val="00BE5A45"/>
    <w:rsid w:val="00BE6EA6"/>
    <w:rsid w:val="00BF1071"/>
    <w:rsid w:val="00BF2F45"/>
    <w:rsid w:val="00BF53D9"/>
    <w:rsid w:val="00BF7D78"/>
    <w:rsid w:val="00C0151D"/>
    <w:rsid w:val="00C0452B"/>
    <w:rsid w:val="00C12F40"/>
    <w:rsid w:val="00C13208"/>
    <w:rsid w:val="00C142F6"/>
    <w:rsid w:val="00C14434"/>
    <w:rsid w:val="00C1459E"/>
    <w:rsid w:val="00C14CB1"/>
    <w:rsid w:val="00C34B73"/>
    <w:rsid w:val="00C35DE9"/>
    <w:rsid w:val="00C37A5E"/>
    <w:rsid w:val="00C406A1"/>
    <w:rsid w:val="00C40F83"/>
    <w:rsid w:val="00C413A5"/>
    <w:rsid w:val="00C43073"/>
    <w:rsid w:val="00C44F1B"/>
    <w:rsid w:val="00C4512D"/>
    <w:rsid w:val="00C4584F"/>
    <w:rsid w:val="00C534F1"/>
    <w:rsid w:val="00C5496D"/>
    <w:rsid w:val="00C55EEB"/>
    <w:rsid w:val="00C651E4"/>
    <w:rsid w:val="00C7325D"/>
    <w:rsid w:val="00C76B2A"/>
    <w:rsid w:val="00C807E5"/>
    <w:rsid w:val="00C839D1"/>
    <w:rsid w:val="00C8501D"/>
    <w:rsid w:val="00C8561D"/>
    <w:rsid w:val="00C86BEC"/>
    <w:rsid w:val="00C87057"/>
    <w:rsid w:val="00C94238"/>
    <w:rsid w:val="00C96D1C"/>
    <w:rsid w:val="00CA0DEC"/>
    <w:rsid w:val="00CB2965"/>
    <w:rsid w:val="00CB3D13"/>
    <w:rsid w:val="00CC0432"/>
    <w:rsid w:val="00CC147A"/>
    <w:rsid w:val="00CC19F2"/>
    <w:rsid w:val="00CC1D34"/>
    <w:rsid w:val="00CC1F10"/>
    <w:rsid w:val="00CD0C45"/>
    <w:rsid w:val="00CE1CCB"/>
    <w:rsid w:val="00CE2221"/>
    <w:rsid w:val="00CE3E63"/>
    <w:rsid w:val="00CE59ED"/>
    <w:rsid w:val="00CE71FD"/>
    <w:rsid w:val="00CF3E91"/>
    <w:rsid w:val="00CF3EEB"/>
    <w:rsid w:val="00CF656F"/>
    <w:rsid w:val="00CF75B5"/>
    <w:rsid w:val="00D05C54"/>
    <w:rsid w:val="00D12556"/>
    <w:rsid w:val="00D13E74"/>
    <w:rsid w:val="00D20B1A"/>
    <w:rsid w:val="00D21BDF"/>
    <w:rsid w:val="00D231FA"/>
    <w:rsid w:val="00D265A1"/>
    <w:rsid w:val="00D31B32"/>
    <w:rsid w:val="00D31EBB"/>
    <w:rsid w:val="00D32907"/>
    <w:rsid w:val="00D43AF2"/>
    <w:rsid w:val="00D44583"/>
    <w:rsid w:val="00D474F0"/>
    <w:rsid w:val="00D518C3"/>
    <w:rsid w:val="00D568DD"/>
    <w:rsid w:val="00D609D3"/>
    <w:rsid w:val="00D63E0D"/>
    <w:rsid w:val="00D753E6"/>
    <w:rsid w:val="00D75D62"/>
    <w:rsid w:val="00D76CE2"/>
    <w:rsid w:val="00D80152"/>
    <w:rsid w:val="00D864A2"/>
    <w:rsid w:val="00D86A60"/>
    <w:rsid w:val="00D947ED"/>
    <w:rsid w:val="00D94A2E"/>
    <w:rsid w:val="00D97FFA"/>
    <w:rsid w:val="00DA0A4B"/>
    <w:rsid w:val="00DA2335"/>
    <w:rsid w:val="00DA3A59"/>
    <w:rsid w:val="00DA5465"/>
    <w:rsid w:val="00DB28AB"/>
    <w:rsid w:val="00DB5F37"/>
    <w:rsid w:val="00DB62A9"/>
    <w:rsid w:val="00DC1643"/>
    <w:rsid w:val="00DC3393"/>
    <w:rsid w:val="00DC3ADC"/>
    <w:rsid w:val="00DC4411"/>
    <w:rsid w:val="00DD6A04"/>
    <w:rsid w:val="00DE0D7C"/>
    <w:rsid w:val="00DE7003"/>
    <w:rsid w:val="00DE70AD"/>
    <w:rsid w:val="00DF180A"/>
    <w:rsid w:val="00DF4DD4"/>
    <w:rsid w:val="00DF5928"/>
    <w:rsid w:val="00DF5C70"/>
    <w:rsid w:val="00DF6249"/>
    <w:rsid w:val="00DF66F9"/>
    <w:rsid w:val="00E021D4"/>
    <w:rsid w:val="00E032B8"/>
    <w:rsid w:val="00E07CDD"/>
    <w:rsid w:val="00E178E5"/>
    <w:rsid w:val="00E20908"/>
    <w:rsid w:val="00E2248F"/>
    <w:rsid w:val="00E2353A"/>
    <w:rsid w:val="00E253F5"/>
    <w:rsid w:val="00E27B0A"/>
    <w:rsid w:val="00E30989"/>
    <w:rsid w:val="00E31029"/>
    <w:rsid w:val="00E31B8E"/>
    <w:rsid w:val="00E34AB2"/>
    <w:rsid w:val="00E364B2"/>
    <w:rsid w:val="00E3785A"/>
    <w:rsid w:val="00E43460"/>
    <w:rsid w:val="00E4461B"/>
    <w:rsid w:val="00E448AC"/>
    <w:rsid w:val="00E50AD0"/>
    <w:rsid w:val="00E54C26"/>
    <w:rsid w:val="00E55A3D"/>
    <w:rsid w:val="00E6274F"/>
    <w:rsid w:val="00E66C6E"/>
    <w:rsid w:val="00E7338A"/>
    <w:rsid w:val="00E73D52"/>
    <w:rsid w:val="00E76E76"/>
    <w:rsid w:val="00E824D7"/>
    <w:rsid w:val="00E82D21"/>
    <w:rsid w:val="00E9148B"/>
    <w:rsid w:val="00E937B0"/>
    <w:rsid w:val="00E94D32"/>
    <w:rsid w:val="00E94D96"/>
    <w:rsid w:val="00E96E84"/>
    <w:rsid w:val="00EA04DF"/>
    <w:rsid w:val="00EA24E4"/>
    <w:rsid w:val="00EA4B1F"/>
    <w:rsid w:val="00EA79C5"/>
    <w:rsid w:val="00EA7BCC"/>
    <w:rsid w:val="00EB08C8"/>
    <w:rsid w:val="00EB2BCB"/>
    <w:rsid w:val="00EB31FD"/>
    <w:rsid w:val="00EB57A4"/>
    <w:rsid w:val="00EB7F6A"/>
    <w:rsid w:val="00EC2C00"/>
    <w:rsid w:val="00EC3665"/>
    <w:rsid w:val="00ED1B5E"/>
    <w:rsid w:val="00ED2BE7"/>
    <w:rsid w:val="00ED35AA"/>
    <w:rsid w:val="00ED5676"/>
    <w:rsid w:val="00ED5D2D"/>
    <w:rsid w:val="00ED6B27"/>
    <w:rsid w:val="00EE1015"/>
    <w:rsid w:val="00EE108D"/>
    <w:rsid w:val="00EF14B2"/>
    <w:rsid w:val="00EF3558"/>
    <w:rsid w:val="00EF3954"/>
    <w:rsid w:val="00EF40EF"/>
    <w:rsid w:val="00EF464B"/>
    <w:rsid w:val="00EF7A20"/>
    <w:rsid w:val="00F00D5A"/>
    <w:rsid w:val="00F015FA"/>
    <w:rsid w:val="00F03C6E"/>
    <w:rsid w:val="00F06AF3"/>
    <w:rsid w:val="00F10375"/>
    <w:rsid w:val="00F129DC"/>
    <w:rsid w:val="00F15126"/>
    <w:rsid w:val="00F204CE"/>
    <w:rsid w:val="00F216B3"/>
    <w:rsid w:val="00F2172D"/>
    <w:rsid w:val="00F22F0A"/>
    <w:rsid w:val="00F27422"/>
    <w:rsid w:val="00F27B92"/>
    <w:rsid w:val="00F319C9"/>
    <w:rsid w:val="00F31FFB"/>
    <w:rsid w:val="00F332C6"/>
    <w:rsid w:val="00F3745E"/>
    <w:rsid w:val="00F40488"/>
    <w:rsid w:val="00F41702"/>
    <w:rsid w:val="00F43225"/>
    <w:rsid w:val="00F4417E"/>
    <w:rsid w:val="00F44FBC"/>
    <w:rsid w:val="00F508C0"/>
    <w:rsid w:val="00F5307A"/>
    <w:rsid w:val="00F5441F"/>
    <w:rsid w:val="00F61807"/>
    <w:rsid w:val="00F61A85"/>
    <w:rsid w:val="00F621C7"/>
    <w:rsid w:val="00F65639"/>
    <w:rsid w:val="00F65C37"/>
    <w:rsid w:val="00F707A0"/>
    <w:rsid w:val="00F7095D"/>
    <w:rsid w:val="00F734F5"/>
    <w:rsid w:val="00F7374A"/>
    <w:rsid w:val="00F76682"/>
    <w:rsid w:val="00F84EDA"/>
    <w:rsid w:val="00F85029"/>
    <w:rsid w:val="00F94CA9"/>
    <w:rsid w:val="00F94D5D"/>
    <w:rsid w:val="00F95D9C"/>
    <w:rsid w:val="00FB24AB"/>
    <w:rsid w:val="00FB475E"/>
    <w:rsid w:val="00FB49EC"/>
    <w:rsid w:val="00FB60AB"/>
    <w:rsid w:val="00FB68F9"/>
    <w:rsid w:val="00FC0171"/>
    <w:rsid w:val="00FC1A6F"/>
    <w:rsid w:val="00FC6702"/>
    <w:rsid w:val="00FC7518"/>
    <w:rsid w:val="00FD06F3"/>
    <w:rsid w:val="00FD6B8C"/>
    <w:rsid w:val="00FD7F6B"/>
    <w:rsid w:val="00FE15A1"/>
    <w:rsid w:val="00FE1B64"/>
    <w:rsid w:val="00FF075E"/>
    <w:rsid w:val="00FF356E"/>
    <w:rsid w:val="00FF5C4F"/>
    <w:rsid w:val="4C2A126D"/>
    <w:rsid w:val="6B9943E9"/>
    <w:rsid w:val="6D522311"/>
    <w:rsid w:val="716535DB"/>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9BBC3C2"/>
  <w15:docId w15:val="{1EEAE4E8-10D7-48AD-A824-61DC19B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qFormat="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61B"/>
    <w:pPr>
      <w:spacing w:after="0" w:line="240" w:lineRule="auto"/>
    </w:pPr>
    <w:rPr>
      <w:rFonts w:ascii="Times New Roman" w:eastAsia="Droid Sans Fallback" w:hAnsi="Times New Roman" w:cs="Calibri"/>
      <w:sz w:val="24"/>
      <w:szCs w:val="22"/>
      <w:lang w:eastAsia="en-US"/>
    </w:rPr>
  </w:style>
  <w:style w:type="paragraph" w:styleId="Ttulo1">
    <w:name w:val="heading 1"/>
    <w:basedOn w:val="Normal"/>
    <w:next w:val="Normal"/>
    <w:link w:val="Ttulo1Car"/>
    <w:uiPriority w:val="9"/>
    <w:qFormat/>
    <w:rsid w:val="00E446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446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4461B"/>
    <w:pPr>
      <w:keepNext/>
      <w:keepLines/>
      <w:spacing w:before="40"/>
      <w:outlineLvl w:val="2"/>
    </w:pPr>
    <w:rPr>
      <w:rFonts w:asciiTheme="majorHAnsi" w:eastAsiaTheme="majorEastAsia" w:hAnsiTheme="majorHAnsi" w:cstheme="majorBidi"/>
      <w:color w:val="1F4E79" w:themeColor="accent1" w:themeShade="8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Footnote Text Char,Fußnotentextr,fn,footnote,Texto nota pie IIRSA,Texto de rodapé,nota_rodapé,nota de rodapé,nota de rodapé Car Car,nota de rodapé Car Car Car Car Car Car Car Car Car Car Car,Footnote Text Char2,F,f"/>
    <w:basedOn w:val="Normal"/>
    <w:link w:val="TextonotapieCar"/>
    <w:uiPriority w:val="99"/>
    <w:unhideWhenUsed/>
    <w:qFormat/>
    <w:rsid w:val="00E4461B"/>
    <w:rPr>
      <w:sz w:val="20"/>
      <w:szCs w:val="20"/>
    </w:rPr>
  </w:style>
  <w:style w:type="paragraph" w:styleId="Descripcin">
    <w:name w:val="caption"/>
    <w:basedOn w:val="Normal"/>
    <w:next w:val="Normal"/>
    <w:uiPriority w:val="35"/>
    <w:unhideWhenUsed/>
    <w:qFormat/>
    <w:rsid w:val="00E4461B"/>
    <w:pPr>
      <w:spacing w:after="200"/>
    </w:pPr>
    <w:rPr>
      <w:i/>
      <w:iCs/>
      <w:color w:val="44546A" w:themeColor="text2"/>
      <w:sz w:val="18"/>
      <w:szCs w:val="18"/>
    </w:rPr>
  </w:style>
  <w:style w:type="paragraph" w:styleId="Textonotaalfinal">
    <w:name w:val="endnote text"/>
    <w:basedOn w:val="Normal"/>
    <w:link w:val="TextonotaalfinalCar"/>
    <w:uiPriority w:val="99"/>
    <w:semiHidden/>
    <w:unhideWhenUsed/>
    <w:rsid w:val="00E4461B"/>
    <w:rPr>
      <w:sz w:val="20"/>
      <w:szCs w:val="20"/>
    </w:rPr>
  </w:style>
  <w:style w:type="paragraph" w:styleId="Asuntodelcomentario">
    <w:name w:val="annotation subject"/>
    <w:basedOn w:val="Textocomentario"/>
    <w:next w:val="Textocomentario"/>
    <w:link w:val="AsuntodelcomentarioCar"/>
    <w:uiPriority w:val="99"/>
    <w:semiHidden/>
    <w:unhideWhenUsed/>
    <w:rsid w:val="00E4461B"/>
    <w:rPr>
      <w:b/>
      <w:bCs/>
    </w:rPr>
  </w:style>
  <w:style w:type="paragraph" w:styleId="Textocomentario">
    <w:name w:val="annotation text"/>
    <w:basedOn w:val="Normal"/>
    <w:link w:val="TextocomentarioCar"/>
    <w:uiPriority w:val="99"/>
    <w:semiHidden/>
    <w:unhideWhenUsed/>
    <w:rsid w:val="00E4461B"/>
    <w:rPr>
      <w:sz w:val="20"/>
      <w:szCs w:val="20"/>
    </w:rPr>
  </w:style>
  <w:style w:type="paragraph" w:styleId="Textodeglobo">
    <w:name w:val="Balloon Text"/>
    <w:basedOn w:val="Normal"/>
    <w:link w:val="TextodegloboCar"/>
    <w:uiPriority w:val="99"/>
    <w:semiHidden/>
    <w:unhideWhenUsed/>
    <w:qFormat/>
    <w:rsid w:val="00E4461B"/>
    <w:rPr>
      <w:rFonts w:ascii="Segoe UI" w:hAnsi="Segoe UI" w:cs="Segoe UI"/>
      <w:sz w:val="18"/>
      <w:szCs w:val="18"/>
    </w:rPr>
  </w:style>
  <w:style w:type="paragraph" w:styleId="Lista3">
    <w:name w:val="List 3"/>
    <w:basedOn w:val="Normal"/>
    <w:uiPriority w:val="99"/>
    <w:unhideWhenUsed/>
    <w:qFormat/>
    <w:rsid w:val="00E4461B"/>
    <w:pPr>
      <w:ind w:left="849" w:hanging="283"/>
      <w:contextualSpacing/>
    </w:pPr>
  </w:style>
  <w:style w:type="paragraph" w:styleId="Encabezado">
    <w:name w:val="header"/>
    <w:basedOn w:val="Normal"/>
    <w:link w:val="EncabezadoCar"/>
    <w:uiPriority w:val="99"/>
    <w:unhideWhenUsed/>
    <w:rsid w:val="00E4461B"/>
    <w:pPr>
      <w:tabs>
        <w:tab w:val="center" w:pos="4419"/>
        <w:tab w:val="right" w:pos="8838"/>
      </w:tabs>
    </w:pPr>
  </w:style>
  <w:style w:type="paragraph" w:styleId="Sangradetextonormal">
    <w:name w:val="Body Text Indent"/>
    <w:basedOn w:val="Normal"/>
    <w:link w:val="SangradetextonormalCar"/>
    <w:uiPriority w:val="99"/>
    <w:unhideWhenUsed/>
    <w:qFormat/>
    <w:rsid w:val="00E4461B"/>
    <w:pPr>
      <w:spacing w:after="120"/>
      <w:ind w:left="283"/>
    </w:pPr>
  </w:style>
  <w:style w:type="paragraph" w:styleId="Lista2">
    <w:name w:val="List 2"/>
    <w:basedOn w:val="Normal"/>
    <w:uiPriority w:val="99"/>
    <w:unhideWhenUsed/>
    <w:rsid w:val="00E4461B"/>
    <w:pPr>
      <w:ind w:left="566" w:hanging="283"/>
      <w:contextualSpacing/>
    </w:pPr>
  </w:style>
  <w:style w:type="paragraph" w:styleId="Lista">
    <w:name w:val="List"/>
    <w:basedOn w:val="Normal"/>
    <w:uiPriority w:val="99"/>
    <w:unhideWhenUsed/>
    <w:rsid w:val="00E4461B"/>
    <w:pPr>
      <w:ind w:left="283" w:hanging="283"/>
      <w:contextualSpacing/>
    </w:pPr>
  </w:style>
  <w:style w:type="paragraph" w:styleId="Lista4">
    <w:name w:val="List 4"/>
    <w:basedOn w:val="Normal"/>
    <w:uiPriority w:val="99"/>
    <w:unhideWhenUsed/>
    <w:rsid w:val="00E4461B"/>
    <w:pPr>
      <w:ind w:left="1132" w:hanging="283"/>
      <w:contextualSpacing/>
    </w:pPr>
  </w:style>
  <w:style w:type="paragraph" w:styleId="NormalWeb">
    <w:name w:val="Normal (Web)"/>
    <w:basedOn w:val="Normal"/>
    <w:uiPriority w:val="99"/>
    <w:semiHidden/>
    <w:unhideWhenUsed/>
    <w:rsid w:val="00E4461B"/>
    <w:pPr>
      <w:spacing w:before="100" w:beforeAutospacing="1" w:after="100" w:afterAutospacing="1"/>
    </w:pPr>
    <w:rPr>
      <w:rFonts w:eastAsia="Times New Roman" w:cs="Times New Roman"/>
      <w:szCs w:val="24"/>
      <w:lang w:eastAsia="es-EC"/>
    </w:rPr>
  </w:style>
  <w:style w:type="paragraph" w:styleId="Piedepgina">
    <w:name w:val="footer"/>
    <w:basedOn w:val="Normal"/>
    <w:link w:val="PiedepginaCar"/>
    <w:uiPriority w:val="99"/>
    <w:unhideWhenUsed/>
    <w:rsid w:val="00E4461B"/>
    <w:pPr>
      <w:tabs>
        <w:tab w:val="center" w:pos="4252"/>
        <w:tab w:val="right" w:pos="8504"/>
      </w:tabs>
    </w:pPr>
  </w:style>
  <w:style w:type="paragraph" w:styleId="Saludo">
    <w:name w:val="Salutation"/>
    <w:basedOn w:val="Normal"/>
    <w:next w:val="Normal"/>
    <w:link w:val="SaludoCar"/>
    <w:uiPriority w:val="99"/>
    <w:unhideWhenUsed/>
    <w:qFormat/>
    <w:rsid w:val="00E4461B"/>
  </w:style>
  <w:style w:type="paragraph" w:styleId="Textoindependiente">
    <w:name w:val="Body Text"/>
    <w:basedOn w:val="Normal"/>
    <w:link w:val="TextoindependienteCar"/>
    <w:uiPriority w:val="99"/>
    <w:unhideWhenUsed/>
    <w:rsid w:val="00E4461B"/>
    <w:pPr>
      <w:spacing w:after="120"/>
    </w:pPr>
  </w:style>
  <w:style w:type="paragraph" w:styleId="Textoindependienteprimerasangra2">
    <w:name w:val="Body Text First Indent 2"/>
    <w:basedOn w:val="Sangradetextonormal"/>
    <w:link w:val="Textoindependienteprimerasangra2Car"/>
    <w:uiPriority w:val="99"/>
    <w:unhideWhenUsed/>
    <w:qFormat/>
    <w:rsid w:val="00E4461B"/>
    <w:pPr>
      <w:spacing w:after="0"/>
      <w:ind w:left="360" w:firstLine="360"/>
    </w:pPr>
  </w:style>
  <w:style w:type="paragraph" w:styleId="Puesto">
    <w:name w:val="Title"/>
    <w:basedOn w:val="Normal"/>
    <w:next w:val="Normal"/>
    <w:link w:val="PuestoCar"/>
    <w:uiPriority w:val="10"/>
    <w:qFormat/>
    <w:rsid w:val="00E4461B"/>
    <w:pPr>
      <w:contextualSpacing/>
    </w:pPr>
    <w:rPr>
      <w:rFonts w:asciiTheme="majorHAnsi" w:eastAsiaTheme="majorEastAsia" w:hAnsiTheme="majorHAnsi" w:cstheme="majorBidi"/>
      <w:spacing w:val="-10"/>
      <w:kern w:val="28"/>
      <w:sz w:val="56"/>
      <w:szCs w:val="56"/>
    </w:rPr>
  </w:style>
  <w:style w:type="character" w:styleId="Refdenotaalfinal">
    <w:name w:val="endnote reference"/>
    <w:basedOn w:val="Fuentedeprrafopredeter"/>
    <w:uiPriority w:val="99"/>
    <w:semiHidden/>
    <w:unhideWhenUsed/>
    <w:rsid w:val="00E4461B"/>
    <w:rPr>
      <w:vertAlign w:val="superscript"/>
    </w:rPr>
  </w:style>
  <w:style w:type="character" w:styleId="Refdecomentario">
    <w:name w:val="annotation reference"/>
    <w:basedOn w:val="Fuentedeprrafopredeter"/>
    <w:uiPriority w:val="99"/>
    <w:semiHidden/>
    <w:unhideWhenUsed/>
    <w:rsid w:val="00E4461B"/>
    <w:rPr>
      <w:sz w:val="16"/>
      <w:szCs w:val="16"/>
    </w:rPr>
  </w:style>
  <w:style w:type="character" w:styleId="Refdenotaalpie">
    <w:name w:val="footnote reference"/>
    <w:aliases w:val="Ref,de nota al pie"/>
    <w:basedOn w:val="Fuentedeprrafopredeter"/>
    <w:uiPriority w:val="99"/>
    <w:semiHidden/>
    <w:unhideWhenUsed/>
    <w:rsid w:val="00E4461B"/>
    <w:rPr>
      <w:vertAlign w:val="superscript"/>
    </w:rPr>
  </w:style>
  <w:style w:type="character" w:styleId="nfasis">
    <w:name w:val="Emphasis"/>
    <w:basedOn w:val="Fuentedeprrafopredeter"/>
    <w:uiPriority w:val="20"/>
    <w:qFormat/>
    <w:rsid w:val="00E4461B"/>
    <w:rPr>
      <w:i/>
      <w:iCs/>
    </w:rPr>
  </w:style>
  <w:style w:type="character" w:styleId="Hipervnculo">
    <w:name w:val="Hyperlink"/>
    <w:basedOn w:val="Fuentedeprrafopredeter"/>
    <w:uiPriority w:val="99"/>
    <w:semiHidden/>
    <w:unhideWhenUsed/>
    <w:rsid w:val="00E4461B"/>
    <w:rPr>
      <w:color w:val="0000FF"/>
      <w:u w:val="single"/>
    </w:rPr>
  </w:style>
  <w:style w:type="character" w:styleId="Textoennegrita">
    <w:name w:val="Strong"/>
    <w:basedOn w:val="Fuentedeprrafopredeter"/>
    <w:uiPriority w:val="22"/>
    <w:qFormat/>
    <w:rsid w:val="00E4461B"/>
    <w:rPr>
      <w:b/>
      <w:bCs/>
    </w:rPr>
  </w:style>
  <w:style w:type="table" w:styleId="Tablaconcuadrcula">
    <w:name w:val="Table Grid"/>
    <w:basedOn w:val="Tablanormal"/>
    <w:uiPriority w:val="39"/>
    <w:rsid w:val="00E4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E4461B"/>
    <w:rPr>
      <w:rFonts w:ascii="Times New Roman" w:eastAsia="Droid Sans Fallback" w:hAnsi="Times New Roman" w:cs="Calibri"/>
      <w:sz w:val="24"/>
    </w:rPr>
  </w:style>
  <w:style w:type="paragraph" w:styleId="Prrafodelista">
    <w:name w:val="List Paragraph"/>
    <w:basedOn w:val="Normal"/>
    <w:link w:val="PrrafodelistaCar"/>
    <w:uiPriority w:val="34"/>
    <w:qFormat/>
    <w:rsid w:val="00E4461B"/>
    <w:pPr>
      <w:ind w:left="720"/>
      <w:contextualSpacing/>
    </w:pPr>
  </w:style>
  <w:style w:type="character" w:customStyle="1" w:styleId="TextonotaalfinalCar">
    <w:name w:val="Texto nota al final Car"/>
    <w:basedOn w:val="Fuentedeprrafopredeter"/>
    <w:link w:val="Textonotaalfinal"/>
    <w:uiPriority w:val="99"/>
    <w:semiHidden/>
    <w:rsid w:val="00E4461B"/>
    <w:rPr>
      <w:rFonts w:ascii="Times New Roman" w:eastAsia="Droid Sans Fallback" w:hAnsi="Times New Roman" w:cs="Calibri"/>
      <w:sz w:val="20"/>
      <w:szCs w:val="20"/>
    </w:rPr>
  </w:style>
  <w:style w:type="character" w:customStyle="1" w:styleId="TextonotapieCar">
    <w:name w:val="Texto nota pie Car"/>
    <w:aliases w:val="Footnote Text Char Char Car1,Footnote Text Char Car1,Fußnotentextr Car1,fn Car1,footnote Car1,Texto nota pie IIRSA Car1,Texto de rodapé Car1,nota_rodapé Car1,nota de rodapé Car1,nota de rodapé Car Car Car1,Footnote Text Char2 Car1"/>
    <w:basedOn w:val="Fuentedeprrafopredeter"/>
    <w:link w:val="Textonotapie"/>
    <w:uiPriority w:val="99"/>
    <w:rsid w:val="00E4461B"/>
    <w:rPr>
      <w:rFonts w:ascii="Times New Roman" w:eastAsia="Droid Sans Fallback" w:hAnsi="Times New Roman" w:cs="Calibri"/>
      <w:sz w:val="20"/>
      <w:szCs w:val="20"/>
    </w:rPr>
  </w:style>
  <w:style w:type="character" w:customStyle="1" w:styleId="EncabezadoCar">
    <w:name w:val="Encabezado Car"/>
    <w:basedOn w:val="Fuentedeprrafopredeter"/>
    <w:link w:val="Encabezado"/>
    <w:uiPriority w:val="99"/>
    <w:rsid w:val="00E4461B"/>
    <w:rPr>
      <w:rFonts w:ascii="Times New Roman" w:eastAsia="Droid Sans Fallback" w:hAnsi="Times New Roman" w:cs="Calibri"/>
      <w:sz w:val="24"/>
    </w:rPr>
  </w:style>
  <w:style w:type="character" w:customStyle="1" w:styleId="Ttulo1Car">
    <w:name w:val="Título 1 Car"/>
    <w:basedOn w:val="Fuentedeprrafopredeter"/>
    <w:link w:val="Ttulo1"/>
    <w:uiPriority w:val="9"/>
    <w:qFormat/>
    <w:rsid w:val="00E4461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4461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E4461B"/>
    <w:rPr>
      <w:rFonts w:asciiTheme="majorHAnsi" w:eastAsiaTheme="majorEastAsia" w:hAnsiTheme="majorHAnsi" w:cstheme="majorBidi"/>
      <w:color w:val="1F4E79" w:themeColor="accent1" w:themeShade="80"/>
      <w:sz w:val="24"/>
      <w:szCs w:val="24"/>
    </w:rPr>
  </w:style>
  <w:style w:type="character" w:customStyle="1" w:styleId="TextodegloboCar">
    <w:name w:val="Texto de globo Car"/>
    <w:basedOn w:val="Fuentedeprrafopredeter"/>
    <w:link w:val="Textodeglobo"/>
    <w:uiPriority w:val="99"/>
    <w:semiHidden/>
    <w:rsid w:val="00E4461B"/>
    <w:rPr>
      <w:rFonts w:ascii="Segoe UI" w:eastAsia="Droid Sans Fallback" w:hAnsi="Segoe UI" w:cs="Segoe UI"/>
      <w:sz w:val="18"/>
      <w:szCs w:val="18"/>
    </w:rPr>
  </w:style>
  <w:style w:type="character" w:customStyle="1" w:styleId="highlight">
    <w:name w:val="highlight"/>
    <w:basedOn w:val="Fuentedeprrafopredeter"/>
    <w:qFormat/>
    <w:rsid w:val="00E4461B"/>
  </w:style>
  <w:style w:type="character" w:customStyle="1" w:styleId="TextocomentarioCar">
    <w:name w:val="Texto comentario Car"/>
    <w:basedOn w:val="Fuentedeprrafopredeter"/>
    <w:link w:val="Textocomentario"/>
    <w:uiPriority w:val="99"/>
    <w:semiHidden/>
    <w:qFormat/>
    <w:rsid w:val="00E4461B"/>
    <w:rPr>
      <w:rFonts w:ascii="Times New Roman" w:eastAsia="Droid Sans Fallback" w:hAnsi="Times New Roman" w:cs="Calibri"/>
      <w:sz w:val="20"/>
      <w:szCs w:val="20"/>
    </w:rPr>
  </w:style>
  <w:style w:type="character" w:customStyle="1" w:styleId="AsuntodelcomentarioCar">
    <w:name w:val="Asunto del comentario Car"/>
    <w:basedOn w:val="TextocomentarioCar"/>
    <w:link w:val="Asuntodelcomentario"/>
    <w:uiPriority w:val="99"/>
    <w:semiHidden/>
    <w:qFormat/>
    <w:rsid w:val="00E4461B"/>
    <w:rPr>
      <w:rFonts w:ascii="Times New Roman" w:eastAsia="Droid Sans Fallback" w:hAnsi="Times New Roman" w:cs="Calibri"/>
      <w:b/>
      <w:bCs/>
      <w:sz w:val="20"/>
      <w:szCs w:val="20"/>
    </w:rPr>
  </w:style>
  <w:style w:type="paragraph" w:customStyle="1" w:styleId="Revisin1">
    <w:name w:val="Revisión1"/>
    <w:hidden/>
    <w:uiPriority w:val="99"/>
    <w:semiHidden/>
    <w:qFormat/>
    <w:rsid w:val="00E4461B"/>
    <w:pPr>
      <w:spacing w:after="0" w:line="240" w:lineRule="auto"/>
    </w:pPr>
    <w:rPr>
      <w:rFonts w:ascii="Times New Roman" w:eastAsia="Droid Sans Fallback" w:hAnsi="Times New Roman" w:cs="Calibri"/>
      <w:sz w:val="24"/>
      <w:szCs w:val="22"/>
      <w:lang w:eastAsia="en-US"/>
    </w:rPr>
  </w:style>
  <w:style w:type="character" w:customStyle="1" w:styleId="SaludoCar">
    <w:name w:val="Saludo Car"/>
    <w:basedOn w:val="Fuentedeprrafopredeter"/>
    <w:link w:val="Saludo"/>
    <w:uiPriority w:val="99"/>
    <w:rsid w:val="00E4461B"/>
    <w:rPr>
      <w:rFonts w:ascii="Times New Roman" w:eastAsia="Droid Sans Fallback" w:hAnsi="Times New Roman" w:cs="Calibri"/>
      <w:sz w:val="24"/>
    </w:rPr>
  </w:style>
  <w:style w:type="character" w:customStyle="1" w:styleId="PuestoCar">
    <w:name w:val="Puesto Car"/>
    <w:basedOn w:val="Fuentedeprrafopredeter"/>
    <w:link w:val="Puesto"/>
    <w:uiPriority w:val="10"/>
    <w:qFormat/>
    <w:rsid w:val="00E4461B"/>
    <w:rPr>
      <w:rFonts w:asciiTheme="majorHAnsi" w:eastAsiaTheme="majorEastAsia" w:hAnsiTheme="majorHAnsi" w:cstheme="majorBidi"/>
      <w:spacing w:val="-10"/>
      <w:kern w:val="28"/>
      <w:sz w:val="56"/>
      <w:szCs w:val="56"/>
    </w:rPr>
  </w:style>
  <w:style w:type="character" w:customStyle="1" w:styleId="TextoindependienteCar">
    <w:name w:val="Texto independiente Car"/>
    <w:basedOn w:val="Fuentedeprrafopredeter"/>
    <w:link w:val="Textoindependiente"/>
    <w:uiPriority w:val="99"/>
    <w:qFormat/>
    <w:rsid w:val="00E4461B"/>
    <w:rPr>
      <w:rFonts w:ascii="Times New Roman" w:eastAsia="Droid Sans Fallback" w:hAnsi="Times New Roman" w:cs="Calibri"/>
      <w:sz w:val="24"/>
    </w:rPr>
  </w:style>
  <w:style w:type="character" w:customStyle="1" w:styleId="SangradetextonormalCar">
    <w:name w:val="Sangría de texto normal Car"/>
    <w:basedOn w:val="Fuentedeprrafopredeter"/>
    <w:link w:val="Sangradetextonormal"/>
    <w:uiPriority w:val="99"/>
    <w:rsid w:val="00E4461B"/>
    <w:rPr>
      <w:rFonts w:ascii="Times New Roman" w:eastAsia="Droid Sans Fallback" w:hAnsi="Times New Roman" w:cs="Calibri"/>
      <w:sz w:val="24"/>
    </w:rPr>
  </w:style>
  <w:style w:type="character" w:customStyle="1" w:styleId="Textoindependienteprimerasangra2Car">
    <w:name w:val="Texto independiente primera sangría 2 Car"/>
    <w:basedOn w:val="SangradetextonormalCar"/>
    <w:link w:val="Textoindependienteprimerasangra2"/>
    <w:uiPriority w:val="99"/>
    <w:qFormat/>
    <w:rsid w:val="00E4461B"/>
    <w:rPr>
      <w:rFonts w:ascii="Times New Roman" w:eastAsia="Droid Sans Fallback" w:hAnsi="Times New Roman" w:cs="Calibri"/>
      <w:sz w:val="24"/>
    </w:rPr>
  </w:style>
  <w:style w:type="paragraph" w:styleId="Revisin">
    <w:name w:val="Revision"/>
    <w:hidden/>
    <w:uiPriority w:val="99"/>
    <w:semiHidden/>
    <w:rsid w:val="00CB2965"/>
    <w:pPr>
      <w:spacing w:after="0" w:line="240" w:lineRule="auto"/>
    </w:pPr>
    <w:rPr>
      <w:rFonts w:ascii="Times New Roman" w:eastAsia="Droid Sans Fallback" w:hAnsi="Times New Roman" w:cs="Calibri"/>
      <w:sz w:val="24"/>
      <w:szCs w:val="22"/>
      <w:lang w:eastAsia="en-US"/>
    </w:rPr>
  </w:style>
  <w:style w:type="character" w:customStyle="1" w:styleId="PrrafodelistaCar">
    <w:name w:val="Párrafo de lista Car"/>
    <w:link w:val="Prrafodelista"/>
    <w:uiPriority w:val="34"/>
    <w:locked/>
    <w:rsid w:val="004C3CCE"/>
    <w:rPr>
      <w:rFonts w:ascii="Times New Roman" w:eastAsia="Droid Sans Fallback" w:hAnsi="Times New Roman" w:cs="Calibri"/>
      <w:sz w:val="24"/>
      <w:szCs w:val="22"/>
      <w:lang w:eastAsia="en-US"/>
    </w:rPr>
  </w:style>
  <w:style w:type="character" w:customStyle="1" w:styleId="TextonotapieCar1">
    <w:name w:val="Texto nota pie Car1"/>
    <w:aliases w:val="Footnote Text Char Char Car,Footnote Text Char Car,Fußnotentextr Car,fn Car,footnote Car,Texto nota pie IIRSA Car,Texto de rodapé Car,nota_rodapé Car,nota de rodapé Car,nota de rodapé Car Car Car,Footnote Text Char2 Car,F Car,f Car"/>
    <w:uiPriority w:val="99"/>
    <w:semiHidden/>
    <w:locked/>
    <w:rsid w:val="004C3CCE"/>
    <w:rPr>
      <w:rFonts w:ascii="Times New Roman" w:eastAsia="Times New Roman" w:hAnsi="Times New Roman" w:cs="Times New Roman"/>
      <w:lang w:val="es-ES"/>
    </w:rPr>
  </w:style>
  <w:style w:type="character" w:customStyle="1" w:styleId="Normal2Car">
    <w:name w:val="Normal 2 Car"/>
    <w:link w:val="Normal2"/>
    <w:locked/>
    <w:rsid w:val="004C3CCE"/>
    <w:rPr>
      <w:rFonts w:ascii="Calibri" w:eastAsia="Times New Roman" w:hAnsi="Calibri" w:cs="Times New Roman"/>
      <w:color w:val="000000"/>
      <w:lang w:val="es-ES" w:eastAsia="es-ES"/>
    </w:rPr>
  </w:style>
  <w:style w:type="paragraph" w:customStyle="1" w:styleId="Normal2">
    <w:name w:val="Normal 2"/>
    <w:basedOn w:val="Normal"/>
    <w:link w:val="Normal2Car"/>
    <w:qFormat/>
    <w:rsid w:val="004C3CCE"/>
    <w:pPr>
      <w:spacing w:line="276" w:lineRule="auto"/>
      <w:jc w:val="both"/>
    </w:pPr>
    <w:rPr>
      <w:rFonts w:ascii="Calibri" w:eastAsia="Times New Roman" w:hAnsi="Calibri" w:cs="Times New Roman"/>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2">
      <w:bodyDiv w:val="1"/>
      <w:marLeft w:val="0"/>
      <w:marRight w:val="0"/>
      <w:marTop w:val="0"/>
      <w:marBottom w:val="0"/>
      <w:divBdr>
        <w:top w:val="none" w:sz="0" w:space="0" w:color="auto"/>
        <w:left w:val="none" w:sz="0" w:space="0" w:color="auto"/>
        <w:bottom w:val="none" w:sz="0" w:space="0" w:color="auto"/>
        <w:right w:val="none" w:sz="0" w:space="0" w:color="auto"/>
      </w:divBdr>
    </w:div>
    <w:div w:id="801582135">
      <w:bodyDiv w:val="1"/>
      <w:marLeft w:val="0"/>
      <w:marRight w:val="0"/>
      <w:marTop w:val="0"/>
      <w:marBottom w:val="0"/>
      <w:divBdr>
        <w:top w:val="none" w:sz="0" w:space="0" w:color="auto"/>
        <w:left w:val="none" w:sz="0" w:space="0" w:color="auto"/>
        <w:bottom w:val="none" w:sz="0" w:space="0" w:color="auto"/>
        <w:right w:val="none" w:sz="0" w:space="0" w:color="auto"/>
      </w:divBdr>
    </w:div>
    <w:div w:id="1029719187">
      <w:bodyDiv w:val="1"/>
      <w:marLeft w:val="0"/>
      <w:marRight w:val="0"/>
      <w:marTop w:val="0"/>
      <w:marBottom w:val="0"/>
      <w:divBdr>
        <w:top w:val="none" w:sz="0" w:space="0" w:color="auto"/>
        <w:left w:val="none" w:sz="0" w:space="0" w:color="auto"/>
        <w:bottom w:val="none" w:sz="0" w:space="0" w:color="auto"/>
        <w:right w:val="none" w:sz="0" w:space="0" w:color="auto"/>
      </w:divBdr>
    </w:div>
    <w:div w:id="1067995608">
      <w:bodyDiv w:val="1"/>
      <w:marLeft w:val="0"/>
      <w:marRight w:val="0"/>
      <w:marTop w:val="0"/>
      <w:marBottom w:val="0"/>
      <w:divBdr>
        <w:top w:val="none" w:sz="0" w:space="0" w:color="auto"/>
        <w:left w:val="none" w:sz="0" w:space="0" w:color="auto"/>
        <w:bottom w:val="none" w:sz="0" w:space="0" w:color="auto"/>
        <w:right w:val="none" w:sz="0" w:space="0" w:color="auto"/>
      </w:divBdr>
    </w:div>
    <w:div w:id="1118837419">
      <w:bodyDiv w:val="1"/>
      <w:marLeft w:val="0"/>
      <w:marRight w:val="0"/>
      <w:marTop w:val="0"/>
      <w:marBottom w:val="0"/>
      <w:divBdr>
        <w:top w:val="none" w:sz="0" w:space="0" w:color="auto"/>
        <w:left w:val="none" w:sz="0" w:space="0" w:color="auto"/>
        <w:bottom w:val="none" w:sz="0" w:space="0" w:color="auto"/>
        <w:right w:val="none" w:sz="0" w:space="0" w:color="auto"/>
      </w:divBdr>
    </w:div>
    <w:div w:id="1409770981">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2044288034">
      <w:bodyDiv w:val="1"/>
      <w:marLeft w:val="0"/>
      <w:marRight w:val="0"/>
      <w:marTop w:val="0"/>
      <w:marBottom w:val="0"/>
      <w:divBdr>
        <w:top w:val="none" w:sz="0" w:space="0" w:color="auto"/>
        <w:left w:val="none" w:sz="0" w:space="0" w:color="auto"/>
        <w:bottom w:val="none" w:sz="0" w:space="0" w:color="auto"/>
        <w:right w:val="none" w:sz="0" w:space="0" w:color="auto"/>
      </w:divBdr>
    </w:div>
    <w:div w:id="2095784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560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C0E70-B735-4584-A87B-181AB109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2551</Words>
  <Characters>14033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DIRECCIONPROVISION</dc:creator>
  <cp:lastModifiedBy>diego.espinoza</cp:lastModifiedBy>
  <cp:revision>2</cp:revision>
  <cp:lastPrinted>2019-09-25T17:54:00Z</cp:lastPrinted>
  <dcterms:created xsi:type="dcterms:W3CDTF">2019-10-18T15:13:00Z</dcterms:created>
  <dcterms:modified xsi:type="dcterms:W3CDTF">2019-10-18T15:13:00Z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2058-10.2.0.7646</vt:lpwstr>
  </property>
</Properties>
</file>