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85" w:rsidRDefault="00A81E85" w:rsidP="00E34D22">
      <w:pPr>
        <w:spacing w:after="0" w:line="360" w:lineRule="auto"/>
        <w:jc w:val="center"/>
        <w:rPr>
          <w:b/>
          <w:sz w:val="36"/>
          <w:szCs w:val="36"/>
        </w:rPr>
      </w:pPr>
    </w:p>
    <w:p w:rsidR="00075F3B" w:rsidRDefault="00075F3B" w:rsidP="00E34D22">
      <w:pPr>
        <w:spacing w:after="0" w:line="360" w:lineRule="auto"/>
        <w:jc w:val="center"/>
        <w:rPr>
          <w:b/>
          <w:sz w:val="36"/>
          <w:szCs w:val="36"/>
        </w:rPr>
      </w:pPr>
    </w:p>
    <w:p w:rsidR="00555974" w:rsidRDefault="00555974" w:rsidP="00E34D22">
      <w:pPr>
        <w:spacing w:after="0" w:line="360" w:lineRule="auto"/>
        <w:jc w:val="center"/>
        <w:rPr>
          <w:b/>
          <w:sz w:val="36"/>
          <w:szCs w:val="36"/>
        </w:rPr>
      </w:pPr>
    </w:p>
    <w:p w:rsidR="00555974" w:rsidRDefault="00555974" w:rsidP="00E34D22">
      <w:pPr>
        <w:spacing w:after="0" w:line="360" w:lineRule="auto"/>
        <w:jc w:val="center"/>
        <w:rPr>
          <w:b/>
          <w:sz w:val="36"/>
          <w:szCs w:val="36"/>
        </w:rPr>
      </w:pPr>
    </w:p>
    <w:p w:rsidR="00555974" w:rsidRDefault="00555974" w:rsidP="00E34D22">
      <w:pPr>
        <w:spacing w:after="0" w:line="360" w:lineRule="auto"/>
        <w:jc w:val="center"/>
        <w:rPr>
          <w:b/>
          <w:sz w:val="36"/>
          <w:szCs w:val="36"/>
        </w:rPr>
      </w:pPr>
    </w:p>
    <w:p w:rsidR="00467B62" w:rsidRPr="00555974" w:rsidRDefault="00467B62" w:rsidP="00467B62">
      <w:pPr>
        <w:jc w:val="center"/>
        <w:rPr>
          <w:rFonts w:cstheme="minorHAnsi"/>
          <w:b/>
          <w:sz w:val="24"/>
          <w:szCs w:val="24"/>
        </w:rPr>
      </w:pPr>
      <w:r w:rsidRPr="00555974">
        <w:rPr>
          <w:rFonts w:cstheme="minorHAnsi"/>
          <w:b/>
          <w:sz w:val="24"/>
          <w:szCs w:val="24"/>
        </w:rPr>
        <w:t xml:space="preserve">INSTITUTO </w:t>
      </w:r>
      <w:r w:rsidR="00555974">
        <w:rPr>
          <w:rFonts w:cstheme="minorHAnsi"/>
          <w:b/>
          <w:sz w:val="24"/>
          <w:szCs w:val="24"/>
        </w:rPr>
        <w:t xml:space="preserve">NACIONAL </w:t>
      </w:r>
      <w:r w:rsidR="00E3355F">
        <w:rPr>
          <w:rFonts w:cstheme="minorHAnsi"/>
          <w:b/>
          <w:sz w:val="24"/>
          <w:szCs w:val="24"/>
        </w:rPr>
        <w:t>DE DONACIÓN Y TRASPLANTE</w:t>
      </w:r>
      <w:r w:rsidR="00555974">
        <w:rPr>
          <w:rFonts w:cstheme="minorHAnsi"/>
          <w:b/>
          <w:sz w:val="24"/>
          <w:szCs w:val="24"/>
        </w:rPr>
        <w:t xml:space="preserve">, </w:t>
      </w:r>
      <w:r w:rsidR="00E3355F">
        <w:rPr>
          <w:rFonts w:cstheme="minorHAnsi"/>
          <w:b/>
          <w:sz w:val="24"/>
          <w:szCs w:val="24"/>
        </w:rPr>
        <w:t xml:space="preserve">ÓRGANOS, </w:t>
      </w:r>
      <w:r w:rsidR="00555974">
        <w:rPr>
          <w:rFonts w:cstheme="minorHAnsi"/>
          <w:b/>
          <w:sz w:val="24"/>
          <w:szCs w:val="24"/>
        </w:rPr>
        <w:t>TEJIDOS Y CÉLULAS</w:t>
      </w:r>
    </w:p>
    <w:p w:rsidR="00467B62" w:rsidRPr="00555974" w:rsidRDefault="00555974" w:rsidP="00467B6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</w:t>
      </w:r>
      <w:r w:rsidR="00467B62" w:rsidRPr="00555974">
        <w:rPr>
          <w:rFonts w:cstheme="minorHAnsi"/>
          <w:b/>
          <w:sz w:val="24"/>
          <w:szCs w:val="24"/>
        </w:rPr>
        <w:t>INDOT</w:t>
      </w:r>
      <w:r>
        <w:rPr>
          <w:rFonts w:cstheme="minorHAnsi"/>
          <w:b/>
          <w:sz w:val="24"/>
          <w:szCs w:val="24"/>
        </w:rPr>
        <w:t>)</w:t>
      </w:r>
    </w:p>
    <w:p w:rsidR="00467B62" w:rsidRDefault="00467B62" w:rsidP="00467B62">
      <w:pPr>
        <w:jc w:val="center"/>
        <w:rPr>
          <w:rFonts w:cstheme="minorHAnsi"/>
          <w:b/>
          <w:sz w:val="24"/>
          <w:szCs w:val="24"/>
        </w:rPr>
      </w:pPr>
    </w:p>
    <w:p w:rsidR="00555974" w:rsidRDefault="00555974" w:rsidP="00467B62">
      <w:pPr>
        <w:jc w:val="center"/>
        <w:rPr>
          <w:rFonts w:cstheme="minorHAnsi"/>
          <w:b/>
          <w:sz w:val="24"/>
          <w:szCs w:val="24"/>
        </w:rPr>
      </w:pPr>
    </w:p>
    <w:p w:rsidR="00555974" w:rsidRPr="00555974" w:rsidRDefault="00555974" w:rsidP="00467B62">
      <w:pPr>
        <w:jc w:val="center"/>
        <w:rPr>
          <w:rFonts w:cstheme="minorHAnsi"/>
          <w:b/>
          <w:sz w:val="24"/>
          <w:szCs w:val="24"/>
        </w:rPr>
      </w:pPr>
    </w:p>
    <w:p w:rsidR="00467B62" w:rsidRPr="00555974" w:rsidRDefault="00467B62" w:rsidP="00467B62">
      <w:pPr>
        <w:jc w:val="center"/>
        <w:rPr>
          <w:rFonts w:cstheme="minorHAnsi"/>
          <w:b/>
          <w:sz w:val="24"/>
          <w:szCs w:val="24"/>
        </w:rPr>
      </w:pPr>
      <w:r w:rsidRPr="00555974">
        <w:rPr>
          <w:rFonts w:cstheme="minorHAnsi"/>
          <w:b/>
          <w:sz w:val="24"/>
          <w:szCs w:val="24"/>
        </w:rPr>
        <w:t xml:space="preserve">PROTOCOLO PARA TRANSPORTE DE </w:t>
      </w:r>
      <w:r w:rsidR="00B84A95" w:rsidRPr="00555974">
        <w:rPr>
          <w:rFonts w:cstheme="minorHAnsi"/>
          <w:b/>
          <w:sz w:val="24"/>
          <w:szCs w:val="24"/>
        </w:rPr>
        <w:t xml:space="preserve">INTERNACIONAL VÍA AÉREA DE ÓPRGANOS </w:t>
      </w:r>
    </w:p>
    <w:p w:rsidR="00467B62" w:rsidRDefault="00467B62" w:rsidP="00467B62">
      <w:pPr>
        <w:jc w:val="both"/>
        <w:rPr>
          <w:b/>
        </w:rPr>
      </w:pPr>
    </w:p>
    <w:p w:rsidR="00761DE4" w:rsidRDefault="00761DE4" w:rsidP="00E34D22">
      <w:pPr>
        <w:spacing w:after="0" w:line="360" w:lineRule="auto"/>
        <w:jc w:val="center"/>
        <w:rPr>
          <w:b/>
          <w:sz w:val="36"/>
          <w:szCs w:val="36"/>
        </w:rPr>
      </w:pPr>
    </w:p>
    <w:tbl>
      <w:tblPr>
        <w:tblpPr w:leftFromText="141" w:rightFromText="141" w:vertAnchor="page" w:horzAnchor="margin" w:tblpXSpec="center" w:tblpY="12166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4"/>
        <w:gridCol w:w="3543"/>
        <w:gridCol w:w="3123"/>
      </w:tblGrid>
      <w:tr w:rsidR="00467B62" w:rsidRPr="00430684" w:rsidTr="00467B62">
        <w:trPr>
          <w:cantSplit/>
          <w:trHeight w:val="344"/>
        </w:trPr>
        <w:tc>
          <w:tcPr>
            <w:tcW w:w="3234" w:type="dxa"/>
            <w:vAlign w:val="center"/>
          </w:tcPr>
          <w:p w:rsidR="00467B62" w:rsidRDefault="00467B62" w:rsidP="00467B62">
            <w:pPr>
              <w:pStyle w:val="Piedepgina"/>
              <w:rPr>
                <w:b/>
                <w:sz w:val="16"/>
              </w:rPr>
            </w:pPr>
            <w:r w:rsidRPr="00430684">
              <w:rPr>
                <w:b/>
                <w:sz w:val="16"/>
              </w:rPr>
              <w:t>Elaborado por:</w:t>
            </w:r>
          </w:p>
          <w:p w:rsidR="00467B62" w:rsidRDefault="00467B62" w:rsidP="00467B62">
            <w:pPr>
              <w:pStyle w:val="Piedepgina"/>
              <w:rPr>
                <w:b/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b/>
                <w:sz w:val="16"/>
              </w:rPr>
            </w:pPr>
            <w:r>
              <w:rPr>
                <w:b/>
                <w:sz w:val="16"/>
              </w:rPr>
              <w:t>Cargo:</w:t>
            </w:r>
          </w:p>
        </w:tc>
        <w:tc>
          <w:tcPr>
            <w:tcW w:w="3543" w:type="dxa"/>
            <w:vAlign w:val="center"/>
          </w:tcPr>
          <w:p w:rsidR="00467B62" w:rsidRDefault="00467B62" w:rsidP="00467B62">
            <w:pPr>
              <w:pStyle w:val="Piedepgina"/>
              <w:rPr>
                <w:b/>
                <w:sz w:val="16"/>
              </w:rPr>
            </w:pPr>
            <w:r w:rsidRPr="00430684">
              <w:rPr>
                <w:b/>
                <w:sz w:val="16"/>
              </w:rPr>
              <w:t>Revisado por:</w:t>
            </w:r>
          </w:p>
          <w:p w:rsidR="00467B62" w:rsidRDefault="00467B62" w:rsidP="00467B62">
            <w:pPr>
              <w:pStyle w:val="Piedepgina"/>
              <w:rPr>
                <w:b/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b/>
                <w:sz w:val="16"/>
              </w:rPr>
            </w:pPr>
            <w:r>
              <w:rPr>
                <w:b/>
                <w:sz w:val="16"/>
              </w:rPr>
              <w:t>Cargo:</w:t>
            </w:r>
          </w:p>
        </w:tc>
        <w:tc>
          <w:tcPr>
            <w:tcW w:w="3123" w:type="dxa"/>
            <w:vAlign w:val="center"/>
          </w:tcPr>
          <w:p w:rsidR="00467B62" w:rsidRDefault="00467B62" w:rsidP="00467B62">
            <w:pPr>
              <w:pStyle w:val="Piedepgina"/>
              <w:rPr>
                <w:b/>
                <w:sz w:val="16"/>
              </w:rPr>
            </w:pPr>
          </w:p>
          <w:p w:rsidR="00467B62" w:rsidRDefault="00467B62" w:rsidP="00467B62">
            <w:pPr>
              <w:pStyle w:val="Piedepgina"/>
              <w:rPr>
                <w:b/>
                <w:sz w:val="16"/>
              </w:rPr>
            </w:pPr>
            <w:r w:rsidRPr="00430684">
              <w:rPr>
                <w:b/>
                <w:sz w:val="16"/>
              </w:rPr>
              <w:t>Aprobado por:</w:t>
            </w:r>
          </w:p>
          <w:p w:rsidR="00467B62" w:rsidRDefault="00467B62" w:rsidP="00467B62">
            <w:pPr>
              <w:pStyle w:val="Piedepgina"/>
              <w:rPr>
                <w:b/>
                <w:sz w:val="16"/>
              </w:rPr>
            </w:pPr>
          </w:p>
          <w:p w:rsidR="00467B62" w:rsidRDefault="00467B62" w:rsidP="00467B62">
            <w:pPr>
              <w:pStyle w:val="Piedepgina"/>
              <w:rPr>
                <w:b/>
                <w:sz w:val="16"/>
              </w:rPr>
            </w:pPr>
            <w:r>
              <w:rPr>
                <w:b/>
                <w:sz w:val="16"/>
              </w:rPr>
              <w:t>Cargo:</w:t>
            </w:r>
          </w:p>
          <w:p w:rsidR="00467B62" w:rsidRPr="00430684" w:rsidRDefault="00467B62" w:rsidP="00467B62">
            <w:pPr>
              <w:pStyle w:val="Piedepgina"/>
              <w:rPr>
                <w:b/>
                <w:sz w:val="16"/>
              </w:rPr>
            </w:pPr>
          </w:p>
        </w:tc>
      </w:tr>
      <w:tr w:rsidR="00467B62" w:rsidRPr="00430684" w:rsidTr="00467B62">
        <w:trPr>
          <w:trHeight w:val="70"/>
        </w:trPr>
        <w:tc>
          <w:tcPr>
            <w:tcW w:w="3234" w:type="dxa"/>
            <w:vAlign w:val="center"/>
          </w:tcPr>
          <w:p w:rsidR="00467B62" w:rsidRPr="00430684" w:rsidRDefault="00467B62" w:rsidP="00467B62">
            <w:pPr>
              <w:pStyle w:val="Piedepgina"/>
              <w:rPr>
                <w:b/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b/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b/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rFonts w:cs="Calibri"/>
                <w:noProof/>
              </w:rPr>
            </w:pPr>
          </w:p>
          <w:p w:rsidR="00467B62" w:rsidRPr="00430684" w:rsidRDefault="00A165BB" w:rsidP="00467B62">
            <w:pPr>
              <w:pStyle w:val="Piedepgina"/>
              <w:jc w:val="center"/>
              <w:rPr>
                <w:rFonts w:cs="Calibri"/>
                <w:noProof/>
              </w:rPr>
            </w:pPr>
            <w:bookmarkStart w:id="0" w:name="_GoBack"/>
            <w:bookmarkEnd w:id="0"/>
            <w:r>
              <w:rPr>
                <w:noProof/>
                <w:lang w:eastAsia="es-EC"/>
              </w:rPr>
              <w:drawing>
                <wp:inline distT="0" distB="0" distL="0" distR="0">
                  <wp:extent cx="1285875" cy="476250"/>
                  <wp:effectExtent l="0" t="0" r="9525" b="0"/>
                  <wp:docPr id="1" name="Imagen 1" descr="Descripció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Imagen" descr="Descripció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B62" w:rsidRPr="00430684" w:rsidRDefault="00467B62" w:rsidP="00467B62">
            <w:pPr>
              <w:pStyle w:val="Piedepgina"/>
              <w:jc w:val="center"/>
              <w:rPr>
                <w:b/>
                <w:sz w:val="16"/>
              </w:rPr>
            </w:pPr>
          </w:p>
        </w:tc>
        <w:tc>
          <w:tcPr>
            <w:tcW w:w="3543" w:type="dxa"/>
            <w:vAlign w:val="center"/>
          </w:tcPr>
          <w:p w:rsidR="00467B62" w:rsidRPr="00430684" w:rsidRDefault="00467B62" w:rsidP="00467B62">
            <w:pPr>
              <w:pStyle w:val="Piedepgina"/>
              <w:rPr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sz w:val="16"/>
              </w:rPr>
            </w:pPr>
          </w:p>
          <w:p w:rsidR="00467B62" w:rsidRDefault="00467B62" w:rsidP="00467B62">
            <w:pPr>
              <w:pStyle w:val="Piedepgina"/>
              <w:rPr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jc w:val="center"/>
              <w:rPr>
                <w:sz w:val="16"/>
              </w:rPr>
            </w:pPr>
            <w:r>
              <w:rPr>
                <w:noProof/>
                <w:lang w:eastAsia="es-EC"/>
              </w:rPr>
              <w:drawing>
                <wp:inline distT="0" distB="0" distL="0" distR="0" wp14:anchorId="407A9D79" wp14:editId="3AF809D1">
                  <wp:extent cx="1286510" cy="474980"/>
                  <wp:effectExtent l="0" t="0" r="8890" b="1270"/>
                  <wp:docPr id="20" name="3 Imagen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 Imagen" descr="logo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B62" w:rsidRPr="00430684" w:rsidRDefault="00467B62" w:rsidP="00467B62">
            <w:pPr>
              <w:pStyle w:val="Piedepgina"/>
              <w:jc w:val="center"/>
              <w:rPr>
                <w:b/>
                <w:sz w:val="16"/>
              </w:rPr>
            </w:pPr>
          </w:p>
        </w:tc>
        <w:tc>
          <w:tcPr>
            <w:tcW w:w="3123" w:type="dxa"/>
            <w:vAlign w:val="center"/>
          </w:tcPr>
          <w:p w:rsidR="00467B62" w:rsidRPr="00430684" w:rsidRDefault="00467B62" w:rsidP="00467B62">
            <w:pPr>
              <w:pStyle w:val="Piedepgina"/>
              <w:rPr>
                <w:sz w:val="16"/>
              </w:rPr>
            </w:pPr>
          </w:p>
          <w:p w:rsidR="00467B62" w:rsidRDefault="00467B62" w:rsidP="00467B62">
            <w:pPr>
              <w:pStyle w:val="Piedepgina"/>
              <w:rPr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rPr>
                <w:sz w:val="16"/>
              </w:rPr>
            </w:pPr>
          </w:p>
          <w:p w:rsidR="00467B62" w:rsidRPr="00430684" w:rsidRDefault="00467B62" w:rsidP="00467B62">
            <w:pPr>
              <w:pStyle w:val="Piedepgina"/>
              <w:jc w:val="center"/>
              <w:rPr>
                <w:sz w:val="16"/>
              </w:rPr>
            </w:pPr>
            <w:r>
              <w:rPr>
                <w:noProof/>
                <w:lang w:eastAsia="es-EC"/>
              </w:rPr>
              <w:drawing>
                <wp:inline distT="0" distB="0" distL="0" distR="0" wp14:anchorId="589D6F1D" wp14:editId="2ABCA3B9">
                  <wp:extent cx="1286510" cy="474980"/>
                  <wp:effectExtent l="0" t="0" r="8890" b="1270"/>
                  <wp:docPr id="24" name="3 Imagen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 Imagen" descr="logo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B62" w:rsidRDefault="00467B62" w:rsidP="00E34D22">
      <w:pPr>
        <w:spacing w:after="0" w:line="360" w:lineRule="auto"/>
        <w:jc w:val="center"/>
        <w:rPr>
          <w:b/>
          <w:sz w:val="36"/>
          <w:szCs w:val="36"/>
        </w:rPr>
      </w:pPr>
    </w:p>
    <w:p w:rsidR="00555974" w:rsidRDefault="00555974" w:rsidP="00E34D22">
      <w:pPr>
        <w:spacing w:after="0" w:line="360" w:lineRule="auto"/>
        <w:jc w:val="center"/>
        <w:rPr>
          <w:b/>
          <w:sz w:val="36"/>
          <w:szCs w:val="36"/>
        </w:rPr>
      </w:pPr>
    </w:p>
    <w:p w:rsidR="008D1138" w:rsidRPr="00D83B2B" w:rsidRDefault="008D1138" w:rsidP="00E34D22">
      <w:pPr>
        <w:spacing w:after="0" w:line="360" w:lineRule="auto"/>
        <w:jc w:val="both"/>
        <w:rPr>
          <w:sz w:val="24"/>
          <w:szCs w:val="24"/>
        </w:rPr>
      </w:pPr>
      <w:r w:rsidRPr="00D83B2B">
        <w:rPr>
          <w:sz w:val="24"/>
          <w:szCs w:val="24"/>
        </w:rPr>
        <w:lastRenderedPageBreak/>
        <w:t xml:space="preserve">El transporte nacional por vía aérea de órganos, tejidos y células en procesos de donación y trasplante, deberá ser solicitado y coordinado por el </w:t>
      </w:r>
      <w:r w:rsidRPr="00D83B2B">
        <w:rPr>
          <w:b/>
          <w:sz w:val="24"/>
          <w:szCs w:val="24"/>
        </w:rPr>
        <w:t>INSTITUTO NACIONAL DE DONACIÓN Y TRASPLANTE DE ORGANOS TEJIDOS Y CÉLULAS – INDOT</w:t>
      </w:r>
      <w:r w:rsidRPr="00D83B2B">
        <w:rPr>
          <w:sz w:val="24"/>
          <w:szCs w:val="24"/>
        </w:rPr>
        <w:t xml:space="preserve"> con los organismos competentes a nivel nacional.</w:t>
      </w:r>
    </w:p>
    <w:p w:rsidR="008D1138" w:rsidRPr="00D83B2B" w:rsidRDefault="008D1138" w:rsidP="00E34D22">
      <w:pPr>
        <w:spacing w:after="0" w:line="360" w:lineRule="auto"/>
        <w:jc w:val="both"/>
        <w:rPr>
          <w:sz w:val="24"/>
          <w:szCs w:val="24"/>
        </w:rPr>
      </w:pPr>
      <w:r w:rsidRPr="00D83B2B">
        <w:rPr>
          <w:sz w:val="24"/>
          <w:szCs w:val="24"/>
        </w:rPr>
        <w:t xml:space="preserve">A los efectos de la implementación del transporte por vía aérea nacional de órganos, tejidos y células en procesos de donación y trasplante se adopta lo establecido en el </w:t>
      </w:r>
      <w:r w:rsidRPr="00A81E85">
        <w:rPr>
          <w:sz w:val="24"/>
          <w:szCs w:val="24"/>
        </w:rPr>
        <w:t>REGLAMENTO TECNICO MERCOSUR PARA TRANSPORTE DE SUSTANCIAS INFECCIOSAS Y MUESTRAS BIOLÓGICAS MERCOSUR/GMC/RES. Nº50/08.</w:t>
      </w:r>
    </w:p>
    <w:p w:rsidR="008D1138" w:rsidRPr="00D83B2B" w:rsidRDefault="002F4B3C" w:rsidP="00E34D22">
      <w:pPr>
        <w:spacing w:after="0" w:line="360" w:lineRule="auto"/>
        <w:jc w:val="both"/>
        <w:rPr>
          <w:b/>
          <w:sz w:val="24"/>
          <w:szCs w:val="24"/>
        </w:rPr>
      </w:pPr>
      <w:r w:rsidRPr="00D83B2B">
        <w:rPr>
          <w:b/>
          <w:sz w:val="24"/>
          <w:szCs w:val="24"/>
        </w:rPr>
        <w:t>DEFINICIONES</w:t>
      </w:r>
      <w:r w:rsidR="00D83B2B" w:rsidRPr="00D83B2B">
        <w:rPr>
          <w:b/>
          <w:sz w:val="24"/>
          <w:szCs w:val="24"/>
        </w:rPr>
        <w:t xml:space="preserve">: </w:t>
      </w:r>
    </w:p>
    <w:p w:rsidR="002F4B3C" w:rsidRPr="00D83B2B" w:rsidRDefault="002F4B3C" w:rsidP="00E34D22">
      <w:pPr>
        <w:spacing w:after="0" w:line="360" w:lineRule="auto"/>
        <w:jc w:val="both"/>
        <w:rPr>
          <w:sz w:val="24"/>
          <w:szCs w:val="24"/>
        </w:rPr>
      </w:pPr>
      <w:r w:rsidRPr="00D83B2B">
        <w:rPr>
          <w:sz w:val="24"/>
          <w:szCs w:val="24"/>
        </w:rPr>
        <w:t xml:space="preserve">A los efectos del presente reglamento técnico se entenderá por: </w:t>
      </w:r>
    </w:p>
    <w:p w:rsidR="002F4B3C" w:rsidRPr="00D83B2B" w:rsidRDefault="00D83B2B" w:rsidP="00E34D2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b/>
          <w:sz w:val="24"/>
          <w:szCs w:val="24"/>
        </w:rPr>
      </w:pPr>
      <w:r w:rsidRPr="00D83B2B">
        <w:rPr>
          <w:b/>
          <w:sz w:val="24"/>
          <w:szCs w:val="24"/>
        </w:rPr>
        <w:t xml:space="preserve">SUSTANCIA INFECCIOSA: </w:t>
      </w:r>
    </w:p>
    <w:p w:rsidR="007875D9" w:rsidRPr="00D83B2B" w:rsidRDefault="002F4B3C" w:rsidP="00E34D22">
      <w:pPr>
        <w:spacing w:after="0" w:line="360" w:lineRule="auto"/>
        <w:ind w:left="708"/>
        <w:jc w:val="both"/>
        <w:rPr>
          <w:sz w:val="24"/>
          <w:szCs w:val="24"/>
        </w:rPr>
      </w:pPr>
      <w:r w:rsidRPr="00D83B2B">
        <w:rPr>
          <w:sz w:val="24"/>
          <w:szCs w:val="24"/>
        </w:rPr>
        <w:t xml:space="preserve">Para los fines de su </w:t>
      </w:r>
      <w:r w:rsidR="007875D9" w:rsidRPr="00D83B2B">
        <w:rPr>
          <w:sz w:val="24"/>
          <w:szCs w:val="24"/>
        </w:rPr>
        <w:t>transporte</w:t>
      </w:r>
      <w:r w:rsidRPr="00D83B2B">
        <w:rPr>
          <w:sz w:val="24"/>
          <w:szCs w:val="24"/>
        </w:rPr>
        <w:t>, se entiend</w:t>
      </w:r>
      <w:r w:rsidR="005F41FE" w:rsidRPr="00D83B2B">
        <w:rPr>
          <w:sz w:val="24"/>
          <w:szCs w:val="24"/>
        </w:rPr>
        <w:t>e por sustancias infecciosas, la</w:t>
      </w:r>
      <w:r w:rsidRPr="00D83B2B">
        <w:rPr>
          <w:sz w:val="24"/>
          <w:szCs w:val="24"/>
        </w:rPr>
        <w:t xml:space="preserve"> sustanci</w:t>
      </w:r>
      <w:r w:rsidR="00D83B2B" w:rsidRPr="00D83B2B">
        <w:rPr>
          <w:sz w:val="24"/>
          <w:szCs w:val="24"/>
        </w:rPr>
        <w:t>a respecto de las cuales se conoce</w:t>
      </w:r>
      <w:r w:rsidRPr="00D83B2B">
        <w:rPr>
          <w:sz w:val="24"/>
          <w:szCs w:val="24"/>
        </w:rPr>
        <w:t xml:space="preserve"> o se sospecha de forma </w:t>
      </w:r>
      <w:r w:rsidR="007875D9" w:rsidRPr="00D83B2B">
        <w:rPr>
          <w:sz w:val="24"/>
          <w:szCs w:val="24"/>
        </w:rPr>
        <w:t>fundamentada</w:t>
      </w:r>
      <w:r w:rsidRPr="00D83B2B">
        <w:rPr>
          <w:sz w:val="24"/>
          <w:szCs w:val="24"/>
        </w:rPr>
        <w:t xml:space="preserve"> que </w:t>
      </w:r>
      <w:r w:rsidR="007875D9" w:rsidRPr="00D83B2B">
        <w:rPr>
          <w:sz w:val="24"/>
          <w:szCs w:val="24"/>
        </w:rPr>
        <w:t>contienen</w:t>
      </w:r>
      <w:r w:rsidRPr="00D83B2B">
        <w:rPr>
          <w:sz w:val="24"/>
          <w:szCs w:val="24"/>
        </w:rPr>
        <w:t xml:space="preserve"> ag</w:t>
      </w:r>
      <w:r w:rsidR="007875D9" w:rsidRPr="00D83B2B">
        <w:rPr>
          <w:sz w:val="24"/>
          <w:szCs w:val="24"/>
        </w:rPr>
        <w:t>entes patógenos. Los agentes pató</w:t>
      </w:r>
      <w:r w:rsidRPr="00D83B2B">
        <w:rPr>
          <w:sz w:val="24"/>
          <w:szCs w:val="24"/>
        </w:rPr>
        <w:t>genos son microorganismos (tales como bacterias, virus, rickettsias</w:t>
      </w:r>
      <w:r w:rsidR="007875D9" w:rsidRPr="00D83B2B">
        <w:rPr>
          <w:sz w:val="24"/>
          <w:szCs w:val="24"/>
        </w:rPr>
        <w:t>, parásitos y hongos) y otros agente tales como priones, que pueden causar enfermedades en los ani</w:t>
      </w:r>
      <w:r w:rsidR="00481DF0" w:rsidRPr="00D83B2B">
        <w:rPr>
          <w:sz w:val="24"/>
          <w:szCs w:val="24"/>
        </w:rPr>
        <w:t xml:space="preserve">males y en los seres humanos. </w:t>
      </w:r>
      <w:r w:rsidR="00E34D22">
        <w:rPr>
          <w:rStyle w:val="Refdenotaalpie"/>
          <w:sz w:val="24"/>
          <w:szCs w:val="24"/>
        </w:rPr>
        <w:footnoteReference w:id="1"/>
      </w:r>
    </w:p>
    <w:p w:rsidR="007875D9" w:rsidRPr="00D83B2B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8"/>
        <w:jc w:val="both"/>
        <w:rPr>
          <w:sz w:val="24"/>
          <w:szCs w:val="24"/>
        </w:rPr>
      </w:pPr>
      <w:r w:rsidRPr="00D83B2B">
        <w:rPr>
          <w:sz w:val="24"/>
          <w:szCs w:val="24"/>
        </w:rPr>
        <w:t>Las sustancias infecciosas se dividen en dos categorías.</w:t>
      </w:r>
    </w:p>
    <w:p w:rsidR="007875D9" w:rsidRPr="00E34D22" w:rsidRDefault="007875D9" w:rsidP="00E34D22">
      <w:pPr>
        <w:pStyle w:val="Prrafodelista"/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b/>
          <w:i/>
          <w:sz w:val="24"/>
          <w:szCs w:val="24"/>
          <w:u w:val="single"/>
        </w:rPr>
      </w:pPr>
      <w:r w:rsidRPr="00D83B2B">
        <w:rPr>
          <w:b/>
          <w:i/>
          <w:sz w:val="24"/>
          <w:szCs w:val="24"/>
          <w:u w:val="single"/>
        </w:rPr>
        <w:t>Sustancias infecciosas de categoría A</w:t>
      </w:r>
      <w:r w:rsidR="00D83B2B" w:rsidRPr="00D83B2B">
        <w:rPr>
          <w:b/>
          <w:i/>
          <w:sz w:val="24"/>
          <w:szCs w:val="24"/>
          <w:u w:val="single"/>
        </w:rPr>
        <w:t xml:space="preserve">: </w:t>
      </w:r>
      <w:r w:rsidRPr="00D83B2B">
        <w:rPr>
          <w:sz w:val="24"/>
          <w:szCs w:val="24"/>
        </w:rPr>
        <w:t>Una sustancia infecciosa que se transporta en una forma que, al exponerse a ella, es capaz de causar una incapacidad permanente, poner en peligro la vida o constituir una enfermedad mortal para seres humanos o animales previamente sanos. En el cuadro del Apéndice I de este Reglamento Técnico, figuran ejemplos indicativos de sustancias que cumplen estos criterios.</w:t>
      </w:r>
    </w:p>
    <w:p w:rsidR="00E34D22" w:rsidRPr="00D83B2B" w:rsidRDefault="00E34D22" w:rsidP="00E34D22">
      <w:pPr>
        <w:pStyle w:val="Prrafodelista"/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jc w:val="both"/>
        <w:rPr>
          <w:b/>
          <w:i/>
          <w:sz w:val="24"/>
          <w:szCs w:val="24"/>
          <w:u w:val="single"/>
        </w:rPr>
      </w:pPr>
    </w:p>
    <w:p w:rsidR="00D83B2B" w:rsidRPr="00E34D22" w:rsidRDefault="007875D9" w:rsidP="00E34D22">
      <w:pPr>
        <w:autoSpaceDE w:val="0"/>
        <w:autoSpaceDN w:val="0"/>
        <w:adjustRightInd w:val="0"/>
        <w:spacing w:after="0" w:line="360" w:lineRule="auto"/>
        <w:ind w:left="1416" w:firstLine="24"/>
        <w:jc w:val="both"/>
        <w:rPr>
          <w:b/>
          <w:sz w:val="24"/>
          <w:szCs w:val="24"/>
        </w:rPr>
      </w:pPr>
      <w:r w:rsidRPr="00D83B2B">
        <w:rPr>
          <w:b/>
          <w:sz w:val="24"/>
          <w:szCs w:val="24"/>
        </w:rPr>
        <w:t>NOTAS</w:t>
      </w:r>
      <w:r w:rsidR="00D83B2B" w:rsidRPr="00D83B2B">
        <w:rPr>
          <w:b/>
          <w:sz w:val="24"/>
          <w:szCs w:val="24"/>
        </w:rPr>
        <w:t xml:space="preserve">: </w:t>
      </w:r>
      <w:r w:rsidRPr="00D83B2B">
        <w:rPr>
          <w:sz w:val="24"/>
          <w:szCs w:val="24"/>
        </w:rPr>
        <w:t xml:space="preserve">Las sustancias infecciosas que, cumpliendo los criterios anteriormente mencionados causan enfermedades en los seres humanos o en los animales se clasifican por el Nº. UN 2814. </w:t>
      </w:r>
    </w:p>
    <w:p w:rsidR="00D83B2B" w:rsidRPr="00D83B2B" w:rsidRDefault="007875D9" w:rsidP="00E34D22">
      <w:pPr>
        <w:pStyle w:val="Prrafodelista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83B2B">
        <w:rPr>
          <w:sz w:val="24"/>
          <w:szCs w:val="24"/>
        </w:rPr>
        <w:t xml:space="preserve">Las sustancias infecciosas que causan enfermedades solo en animales se clasifican por el Nº. UN 2900. </w:t>
      </w:r>
    </w:p>
    <w:p w:rsidR="00D83B2B" w:rsidRPr="00D83B2B" w:rsidRDefault="007875D9" w:rsidP="00E34D22">
      <w:pPr>
        <w:pStyle w:val="Prrafodelista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83B2B">
        <w:rPr>
          <w:sz w:val="24"/>
          <w:szCs w:val="24"/>
        </w:rPr>
        <w:t xml:space="preserve">Se refieren las mercancías peligrosas los Nº UN y las designaciones oficiales de transporte que corresponden a este tipo de mercancías en función de su clasificación como peligrosa y de su composición. Las designaciones oficiales de transporte se utilizan para identificar claramente el artículo o sustancia peligrosa. </w:t>
      </w:r>
    </w:p>
    <w:p w:rsidR="00D83B2B" w:rsidRPr="00D83B2B" w:rsidRDefault="007875D9" w:rsidP="00E34D22">
      <w:pPr>
        <w:pStyle w:val="Prrafodelista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83B2B">
        <w:rPr>
          <w:sz w:val="24"/>
          <w:szCs w:val="24"/>
        </w:rPr>
        <w:t>La designación por los números UN 2814 o UN 2900 se basará en los antecedentes médicos conocidos del paciente o del animal del cual procede la sustancia, las condiciones endémicas locales, los síntomas del paciente o del animal o el asesoramiento de un especialista sobre el estado individual del paciente o del animal.</w:t>
      </w:r>
    </w:p>
    <w:p w:rsidR="007875D9" w:rsidRPr="00D83B2B" w:rsidRDefault="007875D9" w:rsidP="00E34D22">
      <w:pPr>
        <w:pStyle w:val="Prrafodelista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83B2B">
        <w:rPr>
          <w:sz w:val="24"/>
          <w:szCs w:val="24"/>
        </w:rPr>
        <w:t>El cuadro del Apéndice I de este Reglamento Técnico no es exhaustivo. Las sustancias infecciosas incluyendo agentes patogénicos nuevos o emergentes, que no figuran en el cuadro pero que cumplen los mismos criterios, serán incluidas en la categoría A. Además, cuando hubiera dudas si una sustancia cumple o no los criterios, éstas serán incluidas en la categoría A.</w:t>
      </w:r>
    </w:p>
    <w:p w:rsidR="007875D9" w:rsidRPr="00D83B2B" w:rsidRDefault="007875D9" w:rsidP="00E34D2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7875D9" w:rsidRPr="00D83B2B" w:rsidRDefault="007875D9" w:rsidP="00E34D22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83B2B">
        <w:rPr>
          <w:b/>
          <w:i/>
          <w:sz w:val="24"/>
          <w:szCs w:val="24"/>
          <w:u w:val="single"/>
        </w:rPr>
        <w:t>Sustancias infecciosas de categoría B</w:t>
      </w:r>
      <w:r w:rsidR="00D83B2B" w:rsidRPr="00D83B2B">
        <w:rPr>
          <w:b/>
          <w:i/>
          <w:sz w:val="24"/>
          <w:szCs w:val="24"/>
          <w:u w:val="single"/>
        </w:rPr>
        <w:t xml:space="preserve">: </w:t>
      </w:r>
      <w:r w:rsidRPr="00D83B2B">
        <w:rPr>
          <w:sz w:val="24"/>
          <w:szCs w:val="24"/>
        </w:rPr>
        <w:t>Son aquellas sustancias infecciosas que no cumplen los criterios para su inclusión en la categoría A. Las sustancias infecciosas de la categoría B se clasifican por el Nº UN 3373.</w:t>
      </w:r>
    </w:p>
    <w:p w:rsidR="00D83B2B" w:rsidRPr="00D83B2B" w:rsidRDefault="00D83B2B" w:rsidP="00E34D22">
      <w:pPr>
        <w:pStyle w:val="Prrafodelista"/>
        <w:autoSpaceDE w:val="0"/>
        <w:autoSpaceDN w:val="0"/>
        <w:adjustRightInd w:val="0"/>
        <w:spacing w:after="0" w:line="360" w:lineRule="auto"/>
        <w:ind w:left="1440"/>
        <w:jc w:val="both"/>
        <w:rPr>
          <w:sz w:val="24"/>
          <w:szCs w:val="24"/>
        </w:rPr>
      </w:pPr>
    </w:p>
    <w:p w:rsidR="007875D9" w:rsidRPr="00D83B2B" w:rsidRDefault="00D83B2B" w:rsidP="00E34D2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E34D22">
        <w:rPr>
          <w:b/>
          <w:sz w:val="24"/>
          <w:szCs w:val="24"/>
        </w:rPr>
        <w:t>CULTIVOS:</w:t>
      </w:r>
      <w:r w:rsidRPr="00D83B2B">
        <w:rPr>
          <w:sz w:val="24"/>
          <w:szCs w:val="24"/>
        </w:rPr>
        <w:t xml:space="preserve"> </w:t>
      </w:r>
      <w:r w:rsidR="007875D9" w:rsidRPr="00D83B2B">
        <w:rPr>
          <w:sz w:val="24"/>
          <w:szCs w:val="24"/>
        </w:rPr>
        <w:t>Los cultivos son el resultado de un proceso cuyo objetivo es la reproducción de agente patogénico. Esta definición no incluye la muestra de pacientes humanos o animales. Los cultivos pueden ser clasificados en la categoría A o B en función del microorganismo cultivado.</w:t>
      </w:r>
    </w:p>
    <w:p w:rsidR="00D83B2B" w:rsidRPr="00D83B2B" w:rsidRDefault="00D83B2B" w:rsidP="00E34D22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E34D22" w:rsidRDefault="00D83B2B" w:rsidP="00E34D2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E34D22">
        <w:rPr>
          <w:b/>
          <w:sz w:val="24"/>
          <w:szCs w:val="24"/>
        </w:rPr>
        <w:t>MUESTRAS BIOLÓGICAS</w:t>
      </w:r>
      <w:r w:rsidRPr="00D83B2B">
        <w:rPr>
          <w:sz w:val="24"/>
          <w:szCs w:val="24"/>
        </w:rPr>
        <w:t xml:space="preserve">: </w:t>
      </w:r>
      <w:r w:rsidR="007875D9" w:rsidRPr="00D83B2B">
        <w:rPr>
          <w:sz w:val="24"/>
          <w:szCs w:val="24"/>
        </w:rPr>
        <w:t>Son sustancias de origen humano o animal, exentas de agentes patógenos, obtenidas directamente de seres humanos o animales, que incluyen, entre otras cosas, excreciones, secreciones, sangre y sus componentes, tejidos, células, fluidos orgánicos y restos mortales  transportados con fines de estudio, diagnóstico, investigación, tratamiento y/o prevención de enfermedades, control de calidad, y otros.</w:t>
      </w:r>
    </w:p>
    <w:p w:rsidR="00E34D22" w:rsidRPr="00E34D22" w:rsidRDefault="00E34D22" w:rsidP="00E34D2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7875D9" w:rsidRPr="00D83B2B" w:rsidRDefault="00D83B2B" w:rsidP="00E34D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b/>
          <w:sz w:val="24"/>
          <w:szCs w:val="24"/>
        </w:rPr>
      </w:pPr>
      <w:r w:rsidRPr="00D83B2B">
        <w:rPr>
          <w:b/>
          <w:sz w:val="24"/>
          <w:szCs w:val="24"/>
        </w:rPr>
        <w:t xml:space="preserve">EXCEPCIONES: </w:t>
      </w:r>
    </w:p>
    <w:p w:rsidR="00D83B2B" w:rsidRPr="00D83B2B" w:rsidRDefault="007875D9" w:rsidP="00E34D2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83B2B">
        <w:rPr>
          <w:sz w:val="24"/>
          <w:szCs w:val="24"/>
        </w:rPr>
        <w:t>Quedan exceptuados de la aplicación de la presente norma los productos biológicos, tales como vacunas, los microorganismos y organismos genéticamente modificados y los residuos médico-hospitalarios descontaminados, incluyendo las muestras biológicas de origen vegetal, las cuales deberán ser transportadas conforme la normativa vigente en cada Estado Parte.</w:t>
      </w:r>
    </w:p>
    <w:p w:rsidR="007875D9" w:rsidRPr="00D83B2B" w:rsidRDefault="007875D9" w:rsidP="00E34D2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83B2B">
        <w:rPr>
          <w:sz w:val="24"/>
          <w:szCs w:val="24"/>
        </w:rPr>
        <w:t>Productos Biológicos: Son los productos obtenidos de  organismos vivos  y que son elaborados y distribuidos según las prescripciones de las Autoridades nacionales competentes que pueden tener exigencias especiales con relación a licencia y que son utilizados con finalidades de desarrollo, experimentación o investigación conexa. Se incluyen aquí los productos no terminados como las cepas de vacunas.</w:t>
      </w:r>
    </w:p>
    <w:p w:rsidR="007875D9" w:rsidRPr="00D83B2B" w:rsidRDefault="007875D9" w:rsidP="00E34D22">
      <w:pPr>
        <w:spacing w:after="0" w:line="360" w:lineRule="auto"/>
        <w:jc w:val="both"/>
        <w:rPr>
          <w:sz w:val="24"/>
          <w:szCs w:val="24"/>
          <w:lang w:val="es-ES"/>
        </w:rPr>
      </w:pPr>
    </w:p>
    <w:p w:rsidR="007875D9" w:rsidRPr="00D83B2B" w:rsidRDefault="00E34D22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sz w:val="24"/>
          <w:szCs w:val="24"/>
        </w:rPr>
      </w:pPr>
      <w:r w:rsidRPr="00D83B2B">
        <w:rPr>
          <w:rFonts w:eastAsia="Arial"/>
          <w:b/>
          <w:sz w:val="24"/>
          <w:szCs w:val="24"/>
        </w:rPr>
        <w:t>RESPONSABILIDADES</w:t>
      </w:r>
      <w:r>
        <w:rPr>
          <w:rFonts w:eastAsia="Arial"/>
          <w:b/>
          <w:sz w:val="24"/>
          <w:szCs w:val="24"/>
        </w:rPr>
        <w:t xml:space="preserve">: </w:t>
      </w:r>
    </w:p>
    <w:p w:rsidR="007875D9" w:rsidRPr="00D83B2B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83B2B">
        <w:rPr>
          <w:sz w:val="24"/>
          <w:szCs w:val="24"/>
        </w:rPr>
        <w:t>La responsabilidad por el transporte de sustancias infecciosas y muestras biológica</w:t>
      </w:r>
      <w:r w:rsidR="00A566CB" w:rsidRPr="00D83B2B">
        <w:rPr>
          <w:sz w:val="24"/>
          <w:szCs w:val="24"/>
        </w:rPr>
        <w:t>s para los fines previstos en el presente protocolo</w:t>
      </w:r>
      <w:r w:rsidRPr="00D83B2B">
        <w:rPr>
          <w:sz w:val="24"/>
          <w:szCs w:val="24"/>
        </w:rPr>
        <w:t>, desde el origen hasta el  establecimiento o institución de destino habilitados por la Autori</w:t>
      </w:r>
      <w:r w:rsidR="00A566CB" w:rsidRPr="00D83B2B">
        <w:rPr>
          <w:sz w:val="24"/>
          <w:szCs w:val="24"/>
        </w:rPr>
        <w:t>dad Competente</w:t>
      </w:r>
      <w:r w:rsidRPr="00D83B2B">
        <w:rPr>
          <w:sz w:val="24"/>
          <w:szCs w:val="24"/>
        </w:rPr>
        <w:t xml:space="preserve">, alcanzará  al remitente, a la empresa de transporte y al destinatario. </w:t>
      </w:r>
    </w:p>
    <w:p w:rsidR="007875D9" w:rsidRPr="00D83B2B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68"/>
        <w:jc w:val="both"/>
        <w:rPr>
          <w:rFonts w:eastAsia="Arial"/>
          <w:sz w:val="24"/>
          <w:szCs w:val="24"/>
          <w:lang w:val="es-ES"/>
        </w:rPr>
      </w:pPr>
    </w:p>
    <w:p w:rsidR="00E34D22" w:rsidRDefault="00E34D22" w:rsidP="00E34D22">
      <w:pPr>
        <w:pStyle w:val="Prrafodelista"/>
        <w:widowControl w:val="0"/>
        <w:numPr>
          <w:ilvl w:val="0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E34D22">
        <w:rPr>
          <w:rFonts w:eastAsia="Arial"/>
          <w:b/>
          <w:i/>
          <w:sz w:val="24"/>
          <w:szCs w:val="24"/>
          <w:lang w:val="es-PY"/>
        </w:rPr>
        <w:t>Del Remitente</w:t>
      </w:r>
      <w:r>
        <w:rPr>
          <w:rFonts w:eastAsia="Arial"/>
          <w:b/>
          <w:i/>
          <w:sz w:val="24"/>
          <w:szCs w:val="24"/>
          <w:lang w:val="es-PY"/>
        </w:rPr>
        <w:t xml:space="preserve">: </w:t>
      </w:r>
    </w:p>
    <w:p w:rsidR="00E34D22" w:rsidRPr="00E34D22" w:rsidRDefault="007875D9" w:rsidP="00E34D22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E34D22">
        <w:rPr>
          <w:sz w:val="24"/>
          <w:szCs w:val="24"/>
          <w:lang w:val="es-ES"/>
        </w:rPr>
        <w:t>Organizará el envío con antelación, contactando al destinatario de las muestras (Institución o establecimiento receptor), el que deberá dar su aceptació</w:t>
      </w:r>
      <w:r w:rsidR="00A566CB" w:rsidRPr="00E34D22">
        <w:rPr>
          <w:sz w:val="24"/>
          <w:szCs w:val="24"/>
          <w:lang w:val="es-ES"/>
        </w:rPr>
        <w:t>n por escrito.</w:t>
      </w:r>
    </w:p>
    <w:p w:rsidR="00E34D22" w:rsidRPr="00E34D22" w:rsidRDefault="007875D9" w:rsidP="00E34D22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E34D22">
        <w:rPr>
          <w:sz w:val="24"/>
          <w:szCs w:val="24"/>
          <w:lang w:val="es-ES"/>
        </w:rPr>
        <w:t>Determinará la metodología del envío, en conjunto con el transportador  y el destinatario, previendo su transporte por el medio más adecuado y la ruta más directa</w:t>
      </w:r>
      <w:r w:rsidR="00A566CB" w:rsidRPr="00E34D22">
        <w:rPr>
          <w:sz w:val="24"/>
          <w:szCs w:val="24"/>
          <w:lang w:val="es-ES"/>
        </w:rPr>
        <w:t>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E34D22">
        <w:rPr>
          <w:sz w:val="24"/>
          <w:szCs w:val="24"/>
          <w:lang w:val="es-ES"/>
        </w:rPr>
        <w:t>Preparará la documentación necesaria, incluyendo las autorizaciones y los documentos</w:t>
      </w:r>
      <w:r w:rsidR="00A566CB" w:rsidRPr="00E34D22">
        <w:rPr>
          <w:sz w:val="24"/>
          <w:szCs w:val="24"/>
          <w:lang w:val="es-ES"/>
        </w:rPr>
        <w:t xml:space="preserve"> de respaldo de las muestras biológicas.</w:t>
      </w:r>
      <w:r w:rsidRPr="00E34D22">
        <w:rPr>
          <w:sz w:val="24"/>
          <w:szCs w:val="24"/>
          <w:lang w:val="es-ES"/>
        </w:rPr>
        <w:t xml:space="preserve"> 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sz w:val="24"/>
          <w:szCs w:val="24"/>
          <w:lang w:val="es-ES"/>
        </w:rPr>
        <w:t>Notificará con antelación al destinatario de los trámites realizados y la forma de envío (transporte) para garantizar la recepción de</w:t>
      </w:r>
      <w:r w:rsidR="00A566CB" w:rsidRPr="002D1555">
        <w:rPr>
          <w:sz w:val="24"/>
          <w:szCs w:val="24"/>
          <w:lang w:val="es-ES"/>
        </w:rPr>
        <w:t xml:space="preserve"> </w:t>
      </w:r>
      <w:r w:rsidRPr="002D1555">
        <w:rPr>
          <w:sz w:val="24"/>
          <w:szCs w:val="24"/>
          <w:lang w:val="es-ES"/>
        </w:rPr>
        <w:t>l</w:t>
      </w:r>
      <w:r w:rsidR="00A566CB" w:rsidRPr="002D1555">
        <w:rPr>
          <w:sz w:val="24"/>
          <w:szCs w:val="24"/>
          <w:lang w:val="es-ES"/>
        </w:rPr>
        <w:t>a muestra enviada</w:t>
      </w:r>
      <w:r w:rsidRPr="002D1555">
        <w:rPr>
          <w:sz w:val="24"/>
          <w:szCs w:val="24"/>
          <w:lang w:val="es-ES"/>
        </w:rPr>
        <w:t>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sz w:val="24"/>
          <w:szCs w:val="24"/>
          <w:lang w:val="es-ES"/>
        </w:rPr>
        <w:t xml:space="preserve">Embalará, identificará y categorizará la sustancia infecciosa o muestra biológica para los fines previstos en </w:t>
      </w:r>
      <w:r w:rsidR="00342E46" w:rsidRPr="002D1555">
        <w:rPr>
          <w:sz w:val="24"/>
          <w:szCs w:val="24"/>
          <w:lang w:val="es-ES"/>
        </w:rPr>
        <w:t>el</w:t>
      </w:r>
      <w:r w:rsidRPr="002D1555">
        <w:rPr>
          <w:sz w:val="24"/>
          <w:szCs w:val="24"/>
          <w:lang w:val="es-ES"/>
        </w:rPr>
        <w:t xml:space="preserve"> presente </w:t>
      </w:r>
      <w:r w:rsidR="00342E46" w:rsidRPr="002D1555">
        <w:rPr>
          <w:sz w:val="24"/>
          <w:szCs w:val="24"/>
          <w:lang w:val="es-ES"/>
        </w:rPr>
        <w:t>protocolo</w:t>
      </w:r>
      <w:r w:rsidRPr="002D1555">
        <w:rPr>
          <w:sz w:val="24"/>
          <w:szCs w:val="24"/>
          <w:lang w:val="es-ES"/>
        </w:rPr>
        <w:t>, siguiendo las indicaciones de bioseguridad establecidas en la “Guía sobre la reglamentación relativa al transporte de sustancias infecciosas” – OMS – 1 de enero de 2007 – 2008.</w:t>
      </w:r>
    </w:p>
    <w:p w:rsidR="002D1555" w:rsidRPr="002D1555" w:rsidRDefault="002D1555" w:rsidP="002D1555">
      <w:pPr>
        <w:pStyle w:val="Prrafodelista"/>
        <w:widowControl w:val="0"/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eastAsia="Arial"/>
          <w:b/>
          <w:i/>
          <w:sz w:val="24"/>
          <w:szCs w:val="24"/>
          <w:lang w:val="es-PY"/>
        </w:rPr>
      </w:pPr>
    </w:p>
    <w:p w:rsidR="002D1555" w:rsidRPr="002D1555" w:rsidRDefault="007875D9" w:rsidP="002D1555">
      <w:pPr>
        <w:pStyle w:val="Prrafodelista"/>
        <w:widowControl w:val="0"/>
        <w:numPr>
          <w:ilvl w:val="0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b/>
          <w:i/>
          <w:sz w:val="24"/>
          <w:szCs w:val="24"/>
          <w:lang w:val="es-ES"/>
        </w:rPr>
        <w:t>Del destinatario</w:t>
      </w:r>
      <w:r w:rsidR="002D1555">
        <w:rPr>
          <w:rFonts w:eastAsia="Arial"/>
          <w:b/>
          <w:i/>
          <w:sz w:val="24"/>
          <w:szCs w:val="24"/>
          <w:lang w:val="es-ES"/>
        </w:rPr>
        <w:t>: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lastRenderedPageBreak/>
        <w:t>Obtendrá las autorizaciones necesarias de las autoridad</w:t>
      </w:r>
      <w:r w:rsidR="002D1555">
        <w:rPr>
          <w:rFonts w:eastAsia="Arial"/>
          <w:sz w:val="24"/>
          <w:szCs w:val="24"/>
          <w:lang w:val="es-ES"/>
        </w:rPr>
        <w:t xml:space="preserve">es nacionales para el ingreso </w:t>
      </w:r>
      <w:r w:rsidRPr="002D1555">
        <w:rPr>
          <w:rFonts w:eastAsia="Arial"/>
          <w:sz w:val="24"/>
          <w:szCs w:val="24"/>
          <w:lang w:val="es-ES"/>
        </w:rPr>
        <w:t>de sustancias infecciosas y/o muestras biológicas, informando la previsión de llegada del material con antelación mínima de 6 horas.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>Proveerá al remitente de los permisos, documentos de autorización y otros documentos que sean requeridos por las autoridades nacionales del país receptor, haciendo constar el número de esa autorización</w:t>
      </w:r>
      <w:r w:rsidR="002D1555">
        <w:rPr>
          <w:rFonts w:eastAsia="Arial"/>
          <w:sz w:val="24"/>
          <w:szCs w:val="24"/>
          <w:lang w:val="es-ES"/>
        </w:rPr>
        <w:t>. (Todos los documentos originales y copia de respaldo).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>Establecerá en conjunto con el transportador y el remitente, la logística necesaria para recibir el material enviado en la forma más eficiente y oportuna al momento de su arribo.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>Notificará inmediatamente al remitente la llegada del material enviado, indicando las condiciones del mismo.</w:t>
      </w:r>
    </w:p>
    <w:p w:rsidR="002D1555" w:rsidRPr="002D1555" w:rsidRDefault="002D1555" w:rsidP="002D1555">
      <w:pPr>
        <w:pStyle w:val="Prrafodelista"/>
        <w:widowControl w:val="0"/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eastAsia="Arial"/>
          <w:b/>
          <w:i/>
          <w:sz w:val="24"/>
          <w:szCs w:val="24"/>
          <w:lang w:val="es-PY"/>
        </w:rPr>
      </w:pPr>
    </w:p>
    <w:p w:rsidR="002D1555" w:rsidRPr="002D1555" w:rsidRDefault="007875D9" w:rsidP="002D1555">
      <w:pPr>
        <w:pStyle w:val="Prrafodelista"/>
        <w:widowControl w:val="0"/>
        <w:numPr>
          <w:ilvl w:val="0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b/>
          <w:i/>
          <w:sz w:val="24"/>
          <w:szCs w:val="24"/>
          <w:lang w:val="es-ES"/>
        </w:rPr>
        <w:t>Del transportador</w:t>
      </w:r>
      <w:r w:rsidR="002D1555">
        <w:rPr>
          <w:rFonts w:eastAsia="Arial"/>
          <w:b/>
          <w:i/>
          <w:sz w:val="24"/>
          <w:szCs w:val="24"/>
          <w:lang w:val="es-ES"/>
        </w:rPr>
        <w:t>: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 xml:space="preserve">Deberá atender a </w:t>
      </w:r>
      <w:r w:rsidRPr="002D1555">
        <w:rPr>
          <w:sz w:val="24"/>
          <w:szCs w:val="24"/>
          <w:lang w:val="es-ES"/>
        </w:rPr>
        <w:t>las indicaciones y procedimientos  establecidos en la “Guía sobre la reglamentación relativa al transporte de sustancias infecciosas” – OMS – 1 de enero de 2007 y toda otra normativa Internacionalmente vigente.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>Proveerá al remitente de los documentos de despacho, envío e instrucciones para su llenado.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 xml:space="preserve">Verificará la conformidad del embalaje, en relación al material transportado, según las normas vigentes y notificará al remitente si el mismo resultara inadecuado. 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>Asesorará al remitente sobre la ruta más segura y conveniente para el envío del material, efectivizándola a requerimiento del mismo.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 xml:space="preserve">Monitoreará y garantizará las condiciones en que el material debe ser </w:t>
      </w:r>
      <w:r w:rsidRPr="002D1555">
        <w:rPr>
          <w:rFonts w:eastAsia="Arial"/>
          <w:sz w:val="24"/>
          <w:szCs w:val="24"/>
          <w:lang w:val="es-ES"/>
        </w:rPr>
        <w:lastRenderedPageBreak/>
        <w:t>mantenido durante el transporte, realizando el seguimiento del material transportado y notificando al remitente y al destinatario acerca de retrasos esperados o inesperados que ocurran durante el mismo.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>Comunicará al remitente y al destinatario la previsión de llegada con antelación mínima de 8 horas, y a la llegada efectiva del material.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>Entrará en contacto con el remitente, el destinatario, y con las autoridades sanitarias en caso de accidente o derrame de la sustancia infecciosa o muestra biológica.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 xml:space="preserve">Deberá transportar con factura comercial, conocimiento de carga de transporte Aéreo, Fluvial, Marítimo, Ferroviario, o Terrestre Internacional, y demás documentos exigidos por la legislación de los Estados independientemente de ser infeccioso o no. </w:t>
      </w:r>
    </w:p>
    <w:p w:rsidR="002D1555" w:rsidRPr="002D1555" w:rsidRDefault="007875D9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>No transportará el material infeccioso o muestra biológica en el mismo compartimiento en que son transportados los pasajeros.</w:t>
      </w:r>
    </w:p>
    <w:p w:rsidR="002D1555" w:rsidRPr="002D1555" w:rsidRDefault="002D1555" w:rsidP="002D1555">
      <w:pPr>
        <w:pStyle w:val="Prrafodelista"/>
        <w:widowControl w:val="0"/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eastAsia="Arial"/>
          <w:b/>
          <w:i/>
          <w:sz w:val="24"/>
          <w:szCs w:val="24"/>
          <w:lang w:val="es-PY"/>
        </w:rPr>
      </w:pPr>
    </w:p>
    <w:p w:rsidR="002D1555" w:rsidRPr="002D1555" w:rsidRDefault="007875D9" w:rsidP="002D1555">
      <w:pPr>
        <w:pStyle w:val="Prrafodelista"/>
        <w:widowControl w:val="0"/>
        <w:numPr>
          <w:ilvl w:val="0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8D4D14">
        <w:rPr>
          <w:rFonts w:eastAsia="Arial"/>
          <w:b/>
          <w:i/>
          <w:sz w:val="24"/>
          <w:szCs w:val="24"/>
          <w:lang w:val="es-ES"/>
        </w:rPr>
        <w:t>Embalaje y etiquetado</w:t>
      </w:r>
      <w:r w:rsidR="002D1555">
        <w:rPr>
          <w:rFonts w:eastAsia="Arial"/>
          <w:b/>
          <w:sz w:val="24"/>
          <w:szCs w:val="24"/>
          <w:lang w:val="es-ES"/>
        </w:rPr>
        <w:t xml:space="preserve">: </w:t>
      </w:r>
    </w:p>
    <w:p w:rsidR="002D1555" w:rsidRPr="002D1555" w:rsidRDefault="002D1555" w:rsidP="002D1555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2D1555">
        <w:rPr>
          <w:rFonts w:eastAsia="Arial"/>
          <w:sz w:val="24"/>
          <w:szCs w:val="24"/>
          <w:lang w:val="es-ES"/>
        </w:rPr>
        <w:t xml:space="preserve">Se efectuará de acuerdo a lo prescripto en </w:t>
      </w:r>
      <w:r w:rsidRPr="002D1555">
        <w:rPr>
          <w:sz w:val="24"/>
          <w:szCs w:val="24"/>
          <w:lang w:val="es-ES"/>
        </w:rPr>
        <w:t>Guía sobre reglamentación relativa al transporte de sustancias infecciosas vigente en el ámbito de la Organización Mundial de la Salud (OMS) e International Air Transport Association (I.A.T.A.).</w:t>
      </w:r>
    </w:p>
    <w:p w:rsidR="002D1555" w:rsidRDefault="002D1555" w:rsidP="002D155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Arial"/>
          <w:b/>
          <w:sz w:val="24"/>
          <w:szCs w:val="24"/>
          <w:lang w:val="es-ES"/>
        </w:rPr>
      </w:pPr>
    </w:p>
    <w:p w:rsidR="002D1555" w:rsidRDefault="002D1555" w:rsidP="002D155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Arial"/>
          <w:b/>
          <w:sz w:val="24"/>
          <w:szCs w:val="24"/>
          <w:lang w:val="es-ES"/>
        </w:rPr>
      </w:pPr>
      <w:r w:rsidRPr="002D1555">
        <w:rPr>
          <w:rFonts w:eastAsia="Arial"/>
          <w:b/>
          <w:sz w:val="24"/>
          <w:szCs w:val="24"/>
          <w:lang w:val="es-ES"/>
        </w:rPr>
        <w:t xml:space="preserve">NOTA: </w:t>
      </w:r>
    </w:p>
    <w:p w:rsidR="002D1555" w:rsidRDefault="002D1555" w:rsidP="002D1555">
      <w:pPr>
        <w:pStyle w:val="Prrafodelist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sz w:val="24"/>
          <w:szCs w:val="24"/>
          <w:lang w:val="es-ES"/>
        </w:rPr>
      </w:pPr>
      <w:r w:rsidRPr="002D1555">
        <w:rPr>
          <w:rFonts w:eastAsia="Arial"/>
          <w:sz w:val="24"/>
          <w:szCs w:val="24"/>
          <w:lang w:val="es-ES"/>
        </w:rPr>
        <w:t xml:space="preserve">La designación oficial de transporte del Nº UN 2814 es </w:t>
      </w:r>
      <w:r w:rsidRPr="002D1555">
        <w:rPr>
          <w:rFonts w:eastAsia="Arial"/>
          <w:b/>
          <w:sz w:val="24"/>
          <w:szCs w:val="24"/>
          <w:lang w:val="es-ES"/>
        </w:rPr>
        <w:t>«INFECTIOUS SUBSTANCES AFFECTING HUMANS ou SUBSTÂNCIAS INFECCIOSAS QUE AFETAM HUMANOS</w:t>
      </w:r>
      <w:r w:rsidRPr="002D1555">
        <w:rPr>
          <w:rFonts w:eastAsia="TimesNewRomanPSMT"/>
          <w:b/>
          <w:sz w:val="24"/>
          <w:szCs w:val="24"/>
          <w:lang w:val="fr-FR"/>
        </w:rPr>
        <w:t xml:space="preserve"> ou SUSTANCIAS INFECCIOSAS QUE AFECTAN HUMANOS</w:t>
      </w:r>
      <w:r w:rsidRPr="002D1555">
        <w:rPr>
          <w:rFonts w:eastAsia="Arial"/>
          <w:b/>
          <w:sz w:val="24"/>
          <w:szCs w:val="24"/>
          <w:lang w:val="es-ES"/>
        </w:rPr>
        <w:t xml:space="preserve"> ». </w:t>
      </w:r>
    </w:p>
    <w:p w:rsidR="002D1555" w:rsidRDefault="002D1555" w:rsidP="002D1555">
      <w:pPr>
        <w:pStyle w:val="Prrafodelist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sz w:val="24"/>
          <w:szCs w:val="24"/>
          <w:lang w:val="es-ES"/>
        </w:rPr>
      </w:pPr>
      <w:r w:rsidRPr="002D1555">
        <w:rPr>
          <w:rFonts w:eastAsia="Arial"/>
          <w:sz w:val="24"/>
          <w:szCs w:val="24"/>
          <w:lang w:val="es-ES"/>
        </w:rPr>
        <w:lastRenderedPageBreak/>
        <w:t>La designación oficial de transporte del Nº UN 2900 es «</w:t>
      </w:r>
      <w:r w:rsidRPr="002D1555">
        <w:rPr>
          <w:rFonts w:eastAsia="Arial"/>
          <w:b/>
          <w:sz w:val="24"/>
          <w:szCs w:val="24"/>
          <w:lang w:val="es-ES"/>
        </w:rPr>
        <w:t xml:space="preserve">INFECTIOUS SUBSTANCES AFFECTING ANIMALS ONLY ou SUBSTÂNCIAS INFECCIOSAS QUE AFETAM SOMENTE ANIMAIS ou </w:t>
      </w:r>
      <w:r w:rsidRPr="002D1555">
        <w:rPr>
          <w:rFonts w:eastAsia="TimesNewRomanPSMT"/>
          <w:b/>
          <w:sz w:val="24"/>
          <w:szCs w:val="24"/>
          <w:lang w:val="fr-FR"/>
        </w:rPr>
        <w:t>SUSTANCIAS INFECCIOSAS QUE AFECTAN SOLO ANIMALES</w:t>
      </w:r>
      <w:r w:rsidRPr="002D1555">
        <w:rPr>
          <w:rFonts w:eastAsia="Arial"/>
          <w:b/>
          <w:sz w:val="24"/>
          <w:szCs w:val="24"/>
          <w:lang w:val="es-ES"/>
        </w:rPr>
        <w:t xml:space="preserve"> ».</w:t>
      </w:r>
    </w:p>
    <w:p w:rsidR="002D1555" w:rsidRPr="002D1555" w:rsidRDefault="002D1555" w:rsidP="002D1555">
      <w:pPr>
        <w:pStyle w:val="Prrafodelist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sz w:val="24"/>
          <w:szCs w:val="24"/>
          <w:lang w:val="es-ES"/>
        </w:rPr>
      </w:pPr>
      <w:r w:rsidRPr="002D1555">
        <w:rPr>
          <w:rFonts w:eastAsia="Arial"/>
          <w:sz w:val="24"/>
          <w:szCs w:val="24"/>
          <w:lang w:val="es-ES"/>
        </w:rPr>
        <w:t xml:space="preserve">La designación oficial de transporte del Nº UN 3373 es </w:t>
      </w:r>
      <w:r w:rsidRPr="002D1555">
        <w:rPr>
          <w:rFonts w:eastAsia="TimesNewRomanPSMT"/>
          <w:b/>
          <w:sz w:val="24"/>
          <w:szCs w:val="24"/>
          <w:lang w:val="es-ES"/>
        </w:rPr>
        <w:t xml:space="preserve">«BIOLOGICAL SUBSTANCE, CATEGORY B ou SUBSTÂNCIAS BIOLOGICAS, CATEGORIA B ou </w:t>
      </w:r>
      <w:r w:rsidRPr="002D1555">
        <w:rPr>
          <w:rFonts w:eastAsia="TimesNewRomanPSMT"/>
          <w:b/>
          <w:sz w:val="24"/>
          <w:szCs w:val="24"/>
          <w:lang w:val="fr-FR"/>
        </w:rPr>
        <w:t>SUSTANCIAS BIOLOGICAS CATEGORÍA B</w:t>
      </w:r>
      <w:r w:rsidRPr="002D1555">
        <w:rPr>
          <w:rFonts w:eastAsia="TimesNewRomanPSMT"/>
          <w:b/>
          <w:sz w:val="24"/>
          <w:szCs w:val="24"/>
          <w:lang w:val="es-ES"/>
        </w:rPr>
        <w:t>».</w:t>
      </w:r>
    </w:p>
    <w:p w:rsidR="002D1555" w:rsidRPr="002D1555" w:rsidRDefault="002D1555" w:rsidP="002D1555">
      <w:pPr>
        <w:widowControl w:val="0"/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ES"/>
        </w:rPr>
      </w:pPr>
    </w:p>
    <w:p w:rsidR="003B0B68" w:rsidRPr="003B0B68" w:rsidRDefault="002D1555" w:rsidP="003B0B68">
      <w:pPr>
        <w:pStyle w:val="Prrafodelista"/>
        <w:widowControl w:val="0"/>
        <w:numPr>
          <w:ilvl w:val="0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8D4D14">
        <w:rPr>
          <w:rFonts w:eastAsia="Arial"/>
          <w:b/>
          <w:i/>
          <w:sz w:val="24"/>
          <w:szCs w:val="24"/>
          <w:lang w:val="es-ES"/>
        </w:rPr>
        <w:t>Refrigeración</w:t>
      </w:r>
      <w:r>
        <w:rPr>
          <w:rFonts w:eastAsia="Arial"/>
          <w:b/>
          <w:sz w:val="24"/>
          <w:szCs w:val="24"/>
          <w:lang w:val="es-ES"/>
        </w:rPr>
        <w:t xml:space="preserve">: </w:t>
      </w:r>
    </w:p>
    <w:p w:rsidR="003B0B68" w:rsidRPr="003B0B68" w:rsidRDefault="003B0B68" w:rsidP="003B0B68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3B0B68">
        <w:rPr>
          <w:rFonts w:eastAsia="Arial"/>
          <w:sz w:val="24"/>
          <w:szCs w:val="24"/>
          <w:lang w:val="es-ES"/>
        </w:rPr>
        <w:t xml:space="preserve">Se efectuará de acuerdo a lo prescripto en </w:t>
      </w:r>
      <w:r w:rsidRPr="003B0B68">
        <w:rPr>
          <w:sz w:val="24"/>
          <w:szCs w:val="24"/>
          <w:lang w:val="es-ES"/>
        </w:rPr>
        <w:t>Guía sobre reglamentación relativa al transporte de sustancias infecciosas vigente en el ámbito de Organización Mundial de la Salud (OMS) e International Air Transport Association (I.A.T.A.).</w:t>
      </w:r>
    </w:p>
    <w:p w:rsidR="008D4D14" w:rsidRPr="008D4D14" w:rsidRDefault="003B0B68" w:rsidP="008D4D14">
      <w:pPr>
        <w:pStyle w:val="Prrafodelista"/>
        <w:widowControl w:val="0"/>
        <w:numPr>
          <w:ilvl w:val="0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8D4D14">
        <w:rPr>
          <w:rFonts w:eastAsia="Arial"/>
          <w:b/>
          <w:i/>
          <w:sz w:val="24"/>
          <w:szCs w:val="24"/>
          <w:lang w:val="es-ES"/>
        </w:rPr>
        <w:t>Formularios y documentos para el envió</w:t>
      </w:r>
      <w:r>
        <w:rPr>
          <w:rFonts w:eastAsia="Arial"/>
          <w:b/>
          <w:sz w:val="24"/>
          <w:szCs w:val="24"/>
          <w:lang w:val="es-ES"/>
        </w:rPr>
        <w:t>.</w:t>
      </w:r>
    </w:p>
    <w:p w:rsidR="008D4D14" w:rsidRPr="008D4D14" w:rsidRDefault="008D4D14" w:rsidP="008D4D14">
      <w:pPr>
        <w:pStyle w:val="Prrafodelista"/>
        <w:widowControl w:val="0"/>
        <w:numPr>
          <w:ilvl w:val="1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8D4D14">
        <w:rPr>
          <w:rFonts w:eastAsia="Arial"/>
          <w:sz w:val="24"/>
          <w:szCs w:val="24"/>
          <w:lang w:val="es-ES"/>
        </w:rPr>
        <w:t>El envío de sustancias infecciosas y/o muestras biológicas deberá ser   acompañado por los formularios y documentos que se detallan a continuación:</w:t>
      </w:r>
    </w:p>
    <w:p w:rsidR="008D4D14" w:rsidRPr="008D4D14" w:rsidRDefault="008D4D14" w:rsidP="008D4D14">
      <w:pPr>
        <w:pStyle w:val="Prrafodelista"/>
        <w:widowControl w:val="0"/>
        <w:numPr>
          <w:ilvl w:val="2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8D4D14">
        <w:rPr>
          <w:rFonts w:eastAsia="Arial"/>
          <w:sz w:val="24"/>
          <w:szCs w:val="24"/>
          <w:lang w:val="es-ES"/>
        </w:rPr>
        <w:t>Formulario de Declaración del Remitente de Envío de Sustancias Peligrosas, que se agrega como Apéndice II de este Reglamento Técnico.</w:t>
      </w:r>
    </w:p>
    <w:p w:rsidR="008D4D14" w:rsidRPr="008D4D14" w:rsidRDefault="008D4D14" w:rsidP="008D4D14">
      <w:pPr>
        <w:pStyle w:val="Prrafodelista"/>
        <w:widowControl w:val="0"/>
        <w:numPr>
          <w:ilvl w:val="2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8D4D14">
        <w:rPr>
          <w:rFonts w:eastAsia="Arial"/>
          <w:sz w:val="24"/>
          <w:szCs w:val="24"/>
          <w:lang w:val="es-ES"/>
        </w:rPr>
        <w:t xml:space="preserve"> </w:t>
      </w:r>
      <w:r w:rsidRPr="008D4D14">
        <w:rPr>
          <w:rFonts w:eastAsia="Arial"/>
          <w:i/>
          <w:sz w:val="24"/>
          <w:szCs w:val="24"/>
          <w:lang w:val="es-ES"/>
        </w:rPr>
        <w:t>Documentos que deben acompañar el envío</w:t>
      </w:r>
      <w:r>
        <w:rPr>
          <w:rFonts w:eastAsia="Arial"/>
          <w:i/>
          <w:sz w:val="24"/>
          <w:szCs w:val="24"/>
          <w:lang w:val="es-ES"/>
        </w:rPr>
        <w:t xml:space="preserve">: </w:t>
      </w:r>
      <w:r w:rsidRPr="008D4D14">
        <w:rPr>
          <w:rFonts w:eastAsia="Arial"/>
          <w:sz w:val="24"/>
          <w:szCs w:val="24"/>
          <w:lang w:val="es-ES"/>
        </w:rPr>
        <w:t>Los documentos requeridos para el envío podrán ser obtenidos en las compañías transportadoras que deben colocar en el paquete:</w:t>
      </w:r>
    </w:p>
    <w:p w:rsidR="008D4D14" w:rsidRPr="008D4D14" w:rsidRDefault="008D4D14" w:rsidP="008D4D14">
      <w:pPr>
        <w:pStyle w:val="Prrafodelista"/>
        <w:widowControl w:val="0"/>
        <w:numPr>
          <w:ilvl w:val="3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8D4D14">
        <w:rPr>
          <w:rFonts w:eastAsia="Arial"/>
          <w:sz w:val="24"/>
          <w:szCs w:val="24"/>
          <w:lang w:val="es-ES"/>
        </w:rPr>
        <w:t>Una declaración del remitente del envío de sustancias peligrosas, en caso de tratarse de las sustancias clasificadas como categoría A.</w:t>
      </w:r>
    </w:p>
    <w:p w:rsidR="008D4D14" w:rsidRPr="008D4D14" w:rsidRDefault="008D4D14" w:rsidP="008D4D14">
      <w:pPr>
        <w:pStyle w:val="Prrafodelista"/>
        <w:widowControl w:val="0"/>
        <w:numPr>
          <w:ilvl w:val="3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8D4D14">
        <w:rPr>
          <w:rFonts w:eastAsia="Arial"/>
          <w:sz w:val="24"/>
          <w:szCs w:val="24"/>
          <w:lang w:val="es-ES"/>
        </w:rPr>
        <w:lastRenderedPageBreak/>
        <w:t>Una lista de envío/factura comercial que incluya la dirección del destinatario, el número de paquetes, detalle de contenido, peso y valor (si lo tuviere).</w:t>
      </w:r>
    </w:p>
    <w:p w:rsidR="008D4D14" w:rsidRPr="008D4D14" w:rsidRDefault="008D4D14" w:rsidP="008D4D14">
      <w:pPr>
        <w:pStyle w:val="Prrafodelista"/>
        <w:widowControl w:val="0"/>
        <w:numPr>
          <w:ilvl w:val="3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8D4D14">
        <w:rPr>
          <w:rFonts w:eastAsia="Arial"/>
          <w:sz w:val="24"/>
          <w:szCs w:val="24"/>
          <w:lang w:val="es-ES"/>
        </w:rPr>
        <w:t>El conocimiento de carga para los casos en que el transporte sea por vía aérea, marítima, fluvial  y/o terrestre de acuerdo a lo descripto en el ítem 2.3.8</w:t>
      </w:r>
    </w:p>
    <w:p w:rsidR="008D4D14" w:rsidRPr="008D4D14" w:rsidRDefault="008D4D14" w:rsidP="008D4D14">
      <w:pPr>
        <w:pStyle w:val="Prrafodelista"/>
        <w:widowControl w:val="0"/>
        <w:numPr>
          <w:ilvl w:val="3"/>
          <w:numId w:val="9"/>
        </w:numPr>
        <w:tabs>
          <w:tab w:val="left" w:pos="79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PY"/>
        </w:rPr>
      </w:pPr>
      <w:r w:rsidRPr="008D4D14">
        <w:rPr>
          <w:rFonts w:eastAsia="Arial"/>
          <w:sz w:val="24"/>
          <w:szCs w:val="24"/>
          <w:lang w:val="es-ES"/>
        </w:rPr>
        <w:t>La autorización de importación/exportación y/o la declaración si estas fueran requeridas por los Estados Partes</w:t>
      </w:r>
    </w:p>
    <w:p w:rsidR="008D4D14" w:rsidRDefault="008D4D14" w:rsidP="008D4D14">
      <w:pPr>
        <w:pStyle w:val="Prrafodelista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sz w:val="24"/>
          <w:szCs w:val="24"/>
          <w:lang w:val="es-ES"/>
        </w:rPr>
      </w:pPr>
    </w:p>
    <w:p w:rsidR="00B761FC" w:rsidRDefault="008D4D14" w:rsidP="00B761FC">
      <w:pPr>
        <w:pStyle w:val="Prrafodelista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b/>
          <w:i/>
          <w:sz w:val="24"/>
          <w:szCs w:val="24"/>
          <w:lang w:val="es-ES"/>
        </w:rPr>
      </w:pPr>
      <w:r w:rsidRPr="008D4D14">
        <w:rPr>
          <w:rFonts w:eastAsia="Arial"/>
          <w:b/>
          <w:i/>
          <w:sz w:val="24"/>
          <w:szCs w:val="24"/>
          <w:lang w:val="es-ES"/>
        </w:rPr>
        <w:t>Trámites Aduaneros y de Vigilancia Sanitaria</w:t>
      </w:r>
    </w:p>
    <w:p w:rsidR="00B761FC" w:rsidRDefault="00B761FC" w:rsidP="00B761F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Arial"/>
          <w:sz w:val="24"/>
          <w:szCs w:val="24"/>
          <w:lang w:val="es-ES"/>
        </w:rPr>
      </w:pPr>
      <w:r w:rsidRPr="00B761FC">
        <w:rPr>
          <w:rFonts w:eastAsia="Arial"/>
          <w:sz w:val="24"/>
          <w:szCs w:val="24"/>
          <w:lang w:val="es-ES"/>
        </w:rPr>
        <w:t>Para la exportación e importación de sustancias infecciosas y muestras biológicas para los fines previstos en esta norma, el remitente y el destinatario del material enviado, deberán cumplir con determinados procedimientos aduaneros y de vigilancia sanitaria.</w:t>
      </w:r>
    </w:p>
    <w:p w:rsidR="00B761FC" w:rsidRDefault="00B761FC" w:rsidP="00B761F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Arial"/>
          <w:sz w:val="24"/>
          <w:szCs w:val="24"/>
          <w:lang w:val="es-ES"/>
        </w:rPr>
      </w:pPr>
    </w:p>
    <w:p w:rsidR="00B761FC" w:rsidRPr="00B761FC" w:rsidRDefault="00B761FC" w:rsidP="00B761F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Arial"/>
          <w:b/>
          <w:i/>
          <w:sz w:val="24"/>
          <w:szCs w:val="24"/>
          <w:lang w:val="es-ES"/>
        </w:rPr>
      </w:pPr>
    </w:p>
    <w:p w:rsidR="00B761FC" w:rsidRDefault="00B761FC" w:rsidP="00B761FC">
      <w:pPr>
        <w:pStyle w:val="Prrafodelista"/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sz w:val="24"/>
          <w:szCs w:val="24"/>
          <w:lang w:val="es-ES"/>
        </w:rPr>
      </w:pPr>
      <w:r w:rsidRPr="00B761FC">
        <w:rPr>
          <w:rFonts w:eastAsia="Arial"/>
          <w:sz w:val="24"/>
          <w:szCs w:val="24"/>
          <w:lang w:val="es-ES"/>
        </w:rPr>
        <w:t>Remitente:</w:t>
      </w:r>
    </w:p>
    <w:p w:rsidR="00B761FC" w:rsidRDefault="00B761FC" w:rsidP="00B761FC">
      <w:pPr>
        <w:pStyle w:val="Prrafodelista"/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sz w:val="24"/>
          <w:szCs w:val="24"/>
          <w:lang w:val="es-ES"/>
        </w:rPr>
      </w:pPr>
      <w:r w:rsidRPr="00B761FC">
        <w:rPr>
          <w:rFonts w:eastAsia="Arial"/>
          <w:sz w:val="24"/>
          <w:szCs w:val="24"/>
          <w:lang w:val="es-ES"/>
        </w:rPr>
        <w:t>Efectuar junto con el órgano de A</w:t>
      </w:r>
      <w:r>
        <w:rPr>
          <w:rFonts w:eastAsia="Arial"/>
          <w:sz w:val="24"/>
          <w:szCs w:val="24"/>
          <w:lang w:val="es-ES"/>
        </w:rPr>
        <w:t>duana o similar del Estado</w:t>
      </w:r>
      <w:r w:rsidRPr="00B761FC">
        <w:rPr>
          <w:rFonts w:eastAsia="Arial"/>
          <w:sz w:val="24"/>
          <w:szCs w:val="24"/>
          <w:lang w:val="es-ES"/>
        </w:rPr>
        <w:t>, el trámite de registro de exportación o similar.</w:t>
      </w:r>
    </w:p>
    <w:p w:rsidR="00B761FC" w:rsidRPr="00B761FC" w:rsidRDefault="00B761FC" w:rsidP="00B761FC">
      <w:pPr>
        <w:pStyle w:val="Prrafodelista"/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sz w:val="24"/>
          <w:szCs w:val="24"/>
          <w:lang w:val="es-ES"/>
        </w:rPr>
      </w:pPr>
      <w:r w:rsidRPr="00B761FC">
        <w:rPr>
          <w:rFonts w:eastAsia="Arial"/>
          <w:sz w:val="24"/>
          <w:szCs w:val="24"/>
          <w:lang w:val="es-ES"/>
        </w:rPr>
        <w:t>Solicitar a la Autoridad Sanit</w:t>
      </w:r>
      <w:r>
        <w:rPr>
          <w:rFonts w:eastAsia="Arial"/>
          <w:sz w:val="24"/>
          <w:szCs w:val="24"/>
          <w:lang w:val="es-ES"/>
        </w:rPr>
        <w:t>aria competente del Estado</w:t>
      </w:r>
      <w:r w:rsidRPr="00B761FC">
        <w:rPr>
          <w:rFonts w:eastAsia="Arial"/>
          <w:sz w:val="24"/>
          <w:szCs w:val="24"/>
          <w:lang w:val="es-ES"/>
        </w:rPr>
        <w:t xml:space="preserve"> la inspección y liberación de la exportación.</w:t>
      </w:r>
    </w:p>
    <w:p w:rsidR="00B761FC" w:rsidRDefault="00B761FC" w:rsidP="00B761FC">
      <w:pPr>
        <w:pStyle w:val="Prrafodelista"/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sz w:val="24"/>
          <w:szCs w:val="24"/>
          <w:lang w:val="es-ES"/>
        </w:rPr>
      </w:pPr>
      <w:r w:rsidRPr="00B761FC">
        <w:rPr>
          <w:rFonts w:eastAsia="Arial"/>
          <w:sz w:val="24"/>
          <w:szCs w:val="24"/>
          <w:lang w:val="es-ES"/>
        </w:rPr>
        <w:t>Destinatario:</w:t>
      </w:r>
    </w:p>
    <w:p w:rsidR="00B761FC" w:rsidRDefault="00B761FC" w:rsidP="00B761FC">
      <w:pPr>
        <w:pStyle w:val="Prrafodelista"/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sz w:val="24"/>
          <w:szCs w:val="24"/>
          <w:lang w:val="es-ES"/>
        </w:rPr>
      </w:pPr>
      <w:r w:rsidRPr="00B761FC">
        <w:rPr>
          <w:rFonts w:eastAsia="Arial"/>
          <w:sz w:val="24"/>
          <w:szCs w:val="24"/>
          <w:lang w:val="es-ES"/>
        </w:rPr>
        <w:t>Efectuar junto con el órgano de Aduana o similar del Estado Parte, el trámite de registro de importación o similar.</w:t>
      </w:r>
    </w:p>
    <w:p w:rsidR="00B761FC" w:rsidRPr="00B761FC" w:rsidRDefault="00B761FC" w:rsidP="00B761FC">
      <w:pPr>
        <w:pStyle w:val="Prrafodelista"/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Arial"/>
          <w:sz w:val="24"/>
          <w:szCs w:val="24"/>
          <w:lang w:val="es-ES"/>
        </w:rPr>
      </w:pPr>
      <w:r w:rsidRPr="00B761FC">
        <w:rPr>
          <w:rFonts w:eastAsia="Arial"/>
          <w:sz w:val="24"/>
          <w:szCs w:val="24"/>
          <w:lang w:val="es-ES"/>
        </w:rPr>
        <w:t>Solicitar a la Autoridad Sanitaria competente del Estado Parte la inspección y liberación de la importación.</w:t>
      </w:r>
    </w:p>
    <w:p w:rsidR="007875D9" w:rsidRDefault="007875D9" w:rsidP="00E34D22">
      <w:pPr>
        <w:pStyle w:val="Sangra3detindependiente"/>
        <w:spacing w:after="0" w:line="360" w:lineRule="auto"/>
        <w:ind w:left="0"/>
        <w:rPr>
          <w:rFonts w:asciiTheme="minorHAnsi" w:eastAsia="Arial" w:hAnsiTheme="minorHAnsi"/>
          <w:sz w:val="24"/>
          <w:szCs w:val="24"/>
          <w:lang w:val="es-ES"/>
        </w:rPr>
      </w:pPr>
    </w:p>
    <w:p w:rsidR="00B761FC" w:rsidRDefault="00B761FC" w:rsidP="00E34D22">
      <w:pPr>
        <w:pStyle w:val="Sangra3detindependiente"/>
        <w:spacing w:after="0" w:line="360" w:lineRule="auto"/>
        <w:ind w:left="0"/>
        <w:rPr>
          <w:rFonts w:asciiTheme="minorHAnsi" w:eastAsia="Arial" w:hAnsiTheme="minorHAnsi"/>
          <w:sz w:val="24"/>
          <w:szCs w:val="24"/>
          <w:lang w:val="es-ES"/>
        </w:rPr>
      </w:pPr>
    </w:p>
    <w:p w:rsidR="00B761FC" w:rsidRDefault="00B761FC" w:rsidP="00E34D22">
      <w:pPr>
        <w:pStyle w:val="Sangra3detindependiente"/>
        <w:spacing w:after="0" w:line="360" w:lineRule="auto"/>
        <w:ind w:left="0"/>
        <w:rPr>
          <w:rFonts w:asciiTheme="minorHAnsi" w:eastAsia="Arial" w:hAnsiTheme="minorHAnsi"/>
          <w:sz w:val="24"/>
          <w:szCs w:val="24"/>
          <w:lang w:val="es-ES"/>
        </w:rPr>
      </w:pPr>
    </w:p>
    <w:p w:rsidR="00B761FC" w:rsidRDefault="00B761FC" w:rsidP="00E34D22">
      <w:pPr>
        <w:pStyle w:val="Sangra3detindependiente"/>
        <w:spacing w:after="0" w:line="360" w:lineRule="auto"/>
        <w:ind w:left="0"/>
        <w:rPr>
          <w:rFonts w:asciiTheme="minorHAnsi" w:eastAsia="Arial" w:hAnsiTheme="minorHAnsi"/>
          <w:sz w:val="24"/>
          <w:szCs w:val="24"/>
          <w:lang w:val="es-ES"/>
        </w:rPr>
      </w:pPr>
    </w:p>
    <w:p w:rsidR="00B761FC" w:rsidRDefault="00B761FC" w:rsidP="00E34D22">
      <w:pPr>
        <w:pStyle w:val="Sangra3detindependiente"/>
        <w:spacing w:after="0" w:line="360" w:lineRule="auto"/>
        <w:ind w:left="0"/>
        <w:rPr>
          <w:rFonts w:asciiTheme="minorHAnsi" w:eastAsia="Arial" w:hAnsiTheme="minorHAnsi"/>
          <w:sz w:val="24"/>
          <w:szCs w:val="24"/>
          <w:lang w:val="es-ES"/>
        </w:rPr>
      </w:pPr>
    </w:p>
    <w:p w:rsidR="00B761FC" w:rsidRDefault="00B761FC" w:rsidP="00E34D22">
      <w:pPr>
        <w:pStyle w:val="Sangra3detindependiente"/>
        <w:spacing w:after="0" w:line="360" w:lineRule="auto"/>
        <w:ind w:left="0"/>
        <w:rPr>
          <w:rFonts w:asciiTheme="minorHAnsi" w:eastAsia="Arial" w:hAnsiTheme="minorHAnsi"/>
          <w:sz w:val="24"/>
          <w:szCs w:val="24"/>
          <w:lang w:val="es-ES"/>
        </w:rPr>
      </w:pPr>
    </w:p>
    <w:p w:rsidR="00B761FC" w:rsidRPr="00D83B2B" w:rsidRDefault="00B761FC" w:rsidP="00E34D22">
      <w:pPr>
        <w:pStyle w:val="Sangra3detindependiente"/>
        <w:spacing w:after="0" w:line="360" w:lineRule="auto"/>
        <w:ind w:left="0"/>
        <w:rPr>
          <w:rFonts w:asciiTheme="minorHAnsi" w:eastAsia="Arial" w:hAnsiTheme="minorHAnsi"/>
          <w:sz w:val="24"/>
          <w:szCs w:val="24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8D4D14" w:rsidRDefault="008D4D14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8D4D14" w:rsidRDefault="008D4D14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8D4D14" w:rsidRDefault="008D4D14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8D4D14" w:rsidRDefault="008D4D14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spacing w:after="0" w:line="360" w:lineRule="auto"/>
        <w:jc w:val="center"/>
        <w:rPr>
          <w:rFonts w:ascii="Arial" w:hAnsi="Arial"/>
          <w:b/>
          <w:lang w:val="es-ES"/>
        </w:rPr>
      </w:pPr>
      <w:r>
        <w:rPr>
          <w:rFonts w:ascii="Arial" w:hAnsi="Arial"/>
          <w:b/>
          <w:lang w:val="es-ES"/>
        </w:rPr>
        <w:t>Apéndice I</w:t>
      </w:r>
    </w:p>
    <w:p w:rsidR="007875D9" w:rsidRDefault="007875D9" w:rsidP="00E34D22">
      <w:pPr>
        <w:spacing w:after="0" w:line="360" w:lineRule="auto"/>
        <w:jc w:val="center"/>
        <w:rPr>
          <w:rFonts w:ascii="Arial" w:hAnsi="Arial"/>
          <w:b/>
          <w:lang w:val="es-ES"/>
        </w:rPr>
      </w:pPr>
      <w:r>
        <w:rPr>
          <w:rFonts w:ascii="Arial" w:hAnsi="Arial"/>
          <w:b/>
          <w:lang w:val="es-ES"/>
        </w:rPr>
        <w:t>Ejemplos de sustancias infecciosas clasificadas en la categoría 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51"/>
        <w:gridCol w:w="6977"/>
      </w:tblGrid>
      <w:tr w:rsidR="007875D9" w:rsidTr="00B761FC">
        <w:tc>
          <w:tcPr>
            <w:tcW w:w="1951" w:type="dxa"/>
          </w:tcPr>
          <w:p w:rsidR="00B761FC" w:rsidRDefault="00B761FC" w:rsidP="00B76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color w:val="000000"/>
                <w:lang w:val="es-ES"/>
              </w:rPr>
            </w:pPr>
          </w:p>
          <w:p w:rsidR="007875D9" w:rsidRDefault="00B761FC" w:rsidP="00B76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color w:val="000000"/>
                <w:lang w:val="es-ES"/>
              </w:rPr>
            </w:pPr>
            <w:r>
              <w:rPr>
                <w:rFonts w:ascii="Arial" w:hAnsi="Arial"/>
                <w:b/>
                <w:color w:val="000000"/>
                <w:lang w:val="es-ES"/>
              </w:rPr>
              <w:t xml:space="preserve">NÚMERO UN </w:t>
            </w:r>
          </w:p>
          <w:p w:rsidR="007875D9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6977" w:type="dxa"/>
          </w:tcPr>
          <w:p w:rsidR="00B761FC" w:rsidRDefault="00B761FC" w:rsidP="00B761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  <w:p w:rsidR="007875D9" w:rsidRPr="00B761FC" w:rsidRDefault="00B761FC" w:rsidP="00B761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MICROORGANISMO</w:t>
            </w:r>
          </w:p>
        </w:tc>
      </w:tr>
      <w:tr w:rsidR="007875D9" w:rsidTr="00B761FC">
        <w:trPr>
          <w:cantSplit/>
          <w:trHeight w:val="1134"/>
        </w:trPr>
        <w:tc>
          <w:tcPr>
            <w:tcW w:w="1951" w:type="dxa"/>
            <w:textDirection w:val="btLr"/>
          </w:tcPr>
          <w:p w:rsidR="00B761FC" w:rsidRDefault="00B761FC" w:rsidP="00B761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  <w:lang w:val="es-ES"/>
              </w:rPr>
            </w:pPr>
            <w:r>
              <w:rPr>
                <w:rFonts w:ascii="Arial" w:hAnsi="Arial"/>
                <w:b/>
                <w:color w:val="000000"/>
                <w:lang w:val="es-ES"/>
              </w:rPr>
              <w:lastRenderedPageBreak/>
              <w:t xml:space="preserve">   </w:t>
            </w:r>
          </w:p>
          <w:p w:rsidR="00B761FC" w:rsidRDefault="00B761FC" w:rsidP="00B761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  <w:lang w:val="es-ES"/>
              </w:rPr>
            </w:pPr>
          </w:p>
          <w:p w:rsidR="007875D9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  <w:lang w:val="es-ES"/>
              </w:rPr>
            </w:pPr>
            <w:r>
              <w:rPr>
                <w:rFonts w:ascii="Arial" w:hAnsi="Arial"/>
                <w:b/>
                <w:color w:val="000000"/>
                <w:lang w:val="es-ES"/>
              </w:rPr>
              <w:t>UN 2814:</w:t>
            </w:r>
          </w:p>
          <w:p w:rsidR="007875D9" w:rsidRDefault="00B761FC" w:rsidP="00B761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lang w:val="es-ES"/>
              </w:rPr>
              <w:t>S</w:t>
            </w:r>
            <w:r w:rsidR="007875D9">
              <w:rPr>
                <w:rFonts w:ascii="Arial" w:hAnsi="Arial"/>
                <w:b/>
                <w:color w:val="000000"/>
                <w:lang w:val="es-ES"/>
              </w:rPr>
              <w:t>ustancias</w:t>
            </w:r>
            <w:r>
              <w:rPr>
                <w:rFonts w:ascii="Arial" w:hAnsi="Arial"/>
                <w:b/>
                <w:color w:val="000000"/>
                <w:lang w:val="es-ES"/>
              </w:rPr>
              <w:t xml:space="preserve"> </w:t>
            </w:r>
            <w:r w:rsidR="007875D9">
              <w:rPr>
                <w:rFonts w:ascii="Arial" w:hAnsi="Arial"/>
                <w:b/>
                <w:color w:val="000000"/>
                <w:lang w:val="es-ES"/>
              </w:rPr>
              <w:t>infecciosas que</w:t>
            </w:r>
            <w:r>
              <w:rPr>
                <w:rFonts w:ascii="Arial" w:hAnsi="Arial"/>
                <w:b/>
                <w:color w:val="000000"/>
                <w:lang w:val="es-ES"/>
              </w:rPr>
              <w:t xml:space="preserve"> </w:t>
            </w:r>
            <w:r w:rsidR="007875D9">
              <w:rPr>
                <w:rFonts w:ascii="Arial" w:hAnsi="Arial"/>
                <w:b/>
                <w:color w:val="000000"/>
                <w:lang w:val="es-ES"/>
              </w:rPr>
              <w:t>afectan a los</w:t>
            </w:r>
            <w:r>
              <w:rPr>
                <w:rFonts w:ascii="Arial" w:hAnsi="Arial"/>
                <w:b/>
                <w:color w:val="000000"/>
                <w:lang w:val="es-ES"/>
              </w:rPr>
              <w:t xml:space="preserve"> </w:t>
            </w:r>
            <w:r w:rsidR="007875D9">
              <w:rPr>
                <w:rFonts w:ascii="Arial" w:hAnsi="Arial"/>
                <w:b/>
                <w:color w:val="000000"/>
              </w:rPr>
              <w:t>seres humanos</w:t>
            </w:r>
          </w:p>
          <w:p w:rsidR="007875D9" w:rsidRDefault="007875D9" w:rsidP="00B761FC">
            <w:pPr>
              <w:spacing w:after="0" w:line="240" w:lineRule="auto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6977" w:type="dxa"/>
          </w:tcPr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Bacillus anthracis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Brucella abortus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Brucella melitensis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Brucella suis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Burkholderia mallei – Pseudomonas mallei –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muermo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Burkholderia pseudomallei – Pseudomonas pseudomallei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Chlamydia psittaci –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cepas aviares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Clostridium botulinum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Coccidioides immitis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Coxiella burnetii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fiebre hemorrágica de Crimea y el Congo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del dengue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encefalitis equina oriental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Escherichia coli </w:t>
            </w:r>
            <w:r w:rsidRPr="00B761FC">
              <w:rPr>
                <w:rFonts w:ascii="Arial" w:hAnsi="Arial"/>
                <w:color w:val="000000"/>
                <w:sz w:val="20"/>
                <w:szCs w:val="20"/>
              </w:rPr>
              <w:t>verotoxigénico (sólo cultivos)1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</w:rPr>
              <w:t>Virus de Ébola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</w:rPr>
              <w:t>Virus flexal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Francisella tularensis </w:t>
            </w:r>
            <w:r w:rsidRPr="00B761FC">
              <w:rPr>
                <w:rFonts w:ascii="Arial" w:hAnsi="Arial"/>
                <w:color w:val="000000"/>
                <w:sz w:val="20"/>
                <w:szCs w:val="20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</w:rPr>
              <w:t>Virus de Guanarito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</w:rPr>
              <w:t>Virus de Hantaan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</w:rPr>
              <w:t>Hantavirus que causan fiebre hemorrágica con síndrome renal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Hendra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hepatitis B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del herpes B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inmunodeficiencia humana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gripe aviar hiperpatógena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encefalitis japonesa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Junin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enfermedad de la selva de Kyasanur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</w:rPr>
              <w:t>Virus de Lassa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</w:rPr>
              <w:t>Virus de Machupo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PY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PY"/>
              </w:rPr>
              <w:t>Virus de Marburgo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viruela de los monos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Mycobacterium tuberculosis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cultivos)1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Nipah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fiebre hemorrágica de Omsk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poliomielitis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rabia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Rickettsia prowazekii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Rickettsia rickettsii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fiebre del valle del Rift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encefalitis rusa de primavera-verano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Sabia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Shigella dysenteriae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de tipo 1 (sólo cultivos)1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encefalitis transmitida por garrapatas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variólico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encefalitis equina venezolana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del Nilo Occidental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fiebre amarilla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Yersinia pestis </w:t>
            </w:r>
            <w:r w:rsidRPr="00B761FC">
              <w:rPr>
                <w:rFonts w:ascii="Arial" w:hAnsi="Arial"/>
                <w:color w:val="000000"/>
                <w:sz w:val="20"/>
                <w:szCs w:val="20"/>
              </w:rPr>
              <w:t>(sólo cultivos)</w:t>
            </w:r>
          </w:p>
        </w:tc>
      </w:tr>
      <w:tr w:rsidR="007875D9" w:rsidTr="00B761FC">
        <w:trPr>
          <w:cantSplit/>
          <w:trHeight w:val="1134"/>
        </w:trPr>
        <w:tc>
          <w:tcPr>
            <w:tcW w:w="1951" w:type="dxa"/>
            <w:textDirection w:val="btLr"/>
          </w:tcPr>
          <w:p w:rsidR="00B761FC" w:rsidRDefault="00B761FC" w:rsidP="00B761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  <w:lang w:val="es-ES"/>
              </w:rPr>
            </w:pPr>
            <w:r>
              <w:rPr>
                <w:rFonts w:ascii="Arial" w:hAnsi="Arial"/>
                <w:b/>
                <w:color w:val="000000"/>
                <w:lang w:val="es-ES"/>
              </w:rPr>
              <w:lastRenderedPageBreak/>
              <w:t xml:space="preserve"> </w:t>
            </w:r>
          </w:p>
          <w:p w:rsidR="007875D9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  <w:lang w:val="es-ES"/>
              </w:rPr>
            </w:pPr>
            <w:r>
              <w:rPr>
                <w:rFonts w:ascii="Arial" w:hAnsi="Arial"/>
                <w:b/>
                <w:color w:val="000000"/>
                <w:lang w:val="es-ES"/>
              </w:rPr>
              <w:t>UN 2900:</w:t>
            </w:r>
          </w:p>
          <w:p w:rsidR="007875D9" w:rsidRDefault="00B761FC" w:rsidP="00B761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lang w:val="es-ES"/>
              </w:rPr>
              <w:t>S</w:t>
            </w:r>
            <w:r w:rsidR="007875D9">
              <w:rPr>
                <w:rFonts w:ascii="Arial" w:hAnsi="Arial"/>
                <w:b/>
                <w:color w:val="000000"/>
                <w:lang w:val="es-ES"/>
              </w:rPr>
              <w:t>ustancias</w:t>
            </w:r>
            <w:r>
              <w:rPr>
                <w:rFonts w:ascii="Arial" w:hAnsi="Arial"/>
                <w:b/>
                <w:color w:val="000000"/>
                <w:lang w:val="es-ES"/>
              </w:rPr>
              <w:t xml:space="preserve"> </w:t>
            </w:r>
            <w:r w:rsidR="007875D9">
              <w:rPr>
                <w:rFonts w:ascii="Arial" w:hAnsi="Arial"/>
                <w:b/>
                <w:color w:val="000000"/>
                <w:lang w:val="es-ES"/>
              </w:rPr>
              <w:t>infecciosas que</w:t>
            </w:r>
            <w:r>
              <w:rPr>
                <w:rFonts w:ascii="Arial" w:hAnsi="Arial"/>
                <w:b/>
                <w:color w:val="000000"/>
                <w:lang w:val="es-ES"/>
              </w:rPr>
              <w:t xml:space="preserve"> </w:t>
            </w:r>
            <w:r w:rsidR="007875D9">
              <w:rPr>
                <w:rFonts w:ascii="Arial" w:hAnsi="Arial"/>
                <w:b/>
                <w:color w:val="000000"/>
                <w:lang w:val="es-ES"/>
              </w:rPr>
              <w:t>afectan a los</w:t>
            </w:r>
            <w:r>
              <w:rPr>
                <w:rFonts w:ascii="Arial" w:hAnsi="Arial"/>
                <w:b/>
                <w:color w:val="000000"/>
                <w:lang w:val="es-ES"/>
              </w:rPr>
              <w:t xml:space="preserve"> </w:t>
            </w:r>
            <w:r w:rsidR="007875D9">
              <w:rPr>
                <w:rFonts w:ascii="Arial" w:hAnsi="Arial"/>
                <w:b/>
                <w:color w:val="000000"/>
              </w:rPr>
              <w:t>animales</w:t>
            </w:r>
            <w:r>
              <w:rPr>
                <w:rFonts w:ascii="Arial" w:hAnsi="Arial"/>
                <w:b/>
                <w:color w:val="000000"/>
              </w:rPr>
              <w:t xml:space="preserve"> </w:t>
            </w:r>
            <w:r w:rsidR="007875D9">
              <w:rPr>
                <w:rFonts w:ascii="Arial" w:hAnsi="Arial"/>
                <w:b/>
                <w:color w:val="000000"/>
              </w:rPr>
              <w:t>únicamente</w:t>
            </w:r>
          </w:p>
          <w:p w:rsidR="007875D9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6977" w:type="dxa"/>
          </w:tcPr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peste porcina africana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Paramixovirus aviar de tipo 1 – virus de la enfermedad de Newcastle velogénica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peste porcina clásica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fiebre aftosa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dermatosis nodular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  <w:t xml:space="preserve">Mycoplasma mycoides </w:t>
            </w: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– pleuroneumonía bovina contagiosa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peste de los pequeños rumiantes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peste bovina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viruela ovina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viruela caprina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enfermedad vesicular porcina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B761FC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Virus de la estomatitis vesicular (sólo cultivos)</w:t>
            </w:r>
          </w:p>
          <w:p w:rsidR="007875D9" w:rsidRPr="00B761FC" w:rsidRDefault="007875D9" w:rsidP="00B7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7875D9" w:rsidRDefault="007875D9" w:rsidP="00E34D22">
      <w:pPr>
        <w:spacing w:after="0" w:line="360" w:lineRule="auto"/>
        <w:rPr>
          <w:rFonts w:ascii="Arial" w:hAnsi="Arial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vanish/>
          <w:sz w:val="20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vanish/>
          <w:sz w:val="20"/>
          <w:lang w:val="es-ES"/>
        </w:rPr>
      </w:pPr>
    </w:p>
    <w:p w:rsidR="007875D9" w:rsidRDefault="007875D9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7875D9" w:rsidRDefault="007875D9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406463" w:rsidRDefault="00406463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/>
          <w:b/>
          <w:color w:val="FF0000"/>
          <w:sz w:val="16"/>
          <w:lang w:val="es-ES"/>
        </w:rPr>
      </w:pP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Arial" w:hAnsi="Arial"/>
          <w:b/>
          <w:sz w:val="20"/>
          <w:lang w:val="es-ES"/>
        </w:rPr>
      </w:pPr>
      <w:r>
        <w:rPr>
          <w:rFonts w:ascii="Arial" w:eastAsia="Arial" w:hAnsi="Arial"/>
          <w:b/>
          <w:sz w:val="20"/>
          <w:lang w:val="es-ES"/>
        </w:rPr>
        <w:t>APÉNDICE II - DECLARACIÓN DEL REMITENTE DE ENVÍO DE SUSTANCIAS</w:t>
      </w:r>
    </w:p>
    <w:p w:rsidR="007875D9" w:rsidRDefault="007875D9" w:rsidP="00E34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Arial" w:hAnsi="Arial"/>
          <w:b/>
          <w:color w:val="FF0000"/>
          <w:sz w:val="20"/>
          <w:lang w:val="es-ES"/>
        </w:rPr>
      </w:pPr>
      <w:r>
        <w:rPr>
          <w:rFonts w:ascii="Arial" w:eastAsia="Arial" w:hAnsi="Arial"/>
          <w:b/>
          <w:sz w:val="20"/>
          <w:lang w:val="es-ES"/>
        </w:rPr>
        <w:t>PELIGROSAS</w:t>
      </w:r>
    </w:p>
    <w:tbl>
      <w:tblPr>
        <w:tblW w:w="9640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9"/>
        <w:gridCol w:w="848"/>
        <w:gridCol w:w="561"/>
        <w:gridCol w:w="198"/>
        <w:gridCol w:w="966"/>
        <w:gridCol w:w="427"/>
        <w:gridCol w:w="407"/>
        <w:gridCol w:w="1106"/>
        <w:gridCol w:w="1214"/>
        <w:gridCol w:w="223"/>
        <w:gridCol w:w="1981"/>
      </w:tblGrid>
      <w:tr w:rsidR="00F23E5B" w:rsidTr="00F23E5B">
        <w:trPr>
          <w:trHeight w:val="1170"/>
        </w:trPr>
        <w:tc>
          <w:tcPr>
            <w:tcW w:w="4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Remitente</w:t>
            </w:r>
            <w:r>
              <w:rPr>
                <w:rFonts w:ascii="Arial" w:eastAsia="Arial" w:hAnsi="Arial"/>
                <w:b/>
                <w:sz w:val="18"/>
              </w:rPr>
              <w:t>:</w:t>
            </w:r>
          </w:p>
        </w:tc>
        <w:tc>
          <w:tcPr>
            <w:tcW w:w="53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</w:p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  <w:lang w:val="es-ES"/>
              </w:rPr>
            </w:pPr>
            <w:r w:rsidRPr="005A1950">
              <w:rPr>
                <w:rFonts w:ascii="Arial" w:eastAsia="Arial" w:hAnsi="Arial"/>
                <w:b/>
                <w:sz w:val="18"/>
                <w:lang w:val="es-ES"/>
              </w:rPr>
              <w:t>Número del AWB</w:t>
            </w:r>
            <w:r>
              <w:rPr>
                <w:rFonts w:ascii="Arial" w:eastAsia="Arial" w:hAnsi="Arial"/>
                <w:b/>
                <w:sz w:val="18"/>
                <w:lang w:val="es-ES"/>
              </w:rPr>
              <w:t>:</w:t>
            </w:r>
          </w:p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  <w:lang w:val="es-ES"/>
              </w:rPr>
            </w:pPr>
            <w:r w:rsidRPr="005A1950">
              <w:rPr>
                <w:rFonts w:ascii="Arial" w:eastAsia="Arial" w:hAnsi="Arial"/>
                <w:b/>
                <w:sz w:val="18"/>
                <w:lang w:val="es-ES"/>
              </w:rPr>
              <w:t>Página    a página</w:t>
            </w:r>
            <w:r>
              <w:rPr>
                <w:rFonts w:ascii="Arial" w:eastAsia="Arial" w:hAnsi="Arial"/>
                <w:b/>
                <w:sz w:val="18"/>
                <w:lang w:val="es-ES"/>
              </w:rPr>
              <w:t>:</w:t>
            </w:r>
          </w:p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  <w:lang w:val="es-ES"/>
              </w:rPr>
            </w:pPr>
            <w:r w:rsidRPr="005A1950">
              <w:rPr>
                <w:rFonts w:ascii="Arial" w:eastAsia="Arial" w:hAnsi="Arial"/>
                <w:b/>
                <w:sz w:val="18"/>
                <w:lang w:val="es-ES"/>
              </w:rPr>
              <w:t>Referencia del remitente</w:t>
            </w:r>
            <w:r>
              <w:rPr>
                <w:rFonts w:ascii="Arial" w:eastAsia="Arial" w:hAnsi="Arial"/>
                <w:b/>
                <w:sz w:val="18"/>
                <w:lang w:val="es-ES"/>
              </w:rPr>
              <w:t>: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  <w:lang w:val="es-ES"/>
              </w:rPr>
              <w:t xml:space="preserve">        </w:t>
            </w:r>
            <w:r w:rsidRPr="005A1950">
              <w:rPr>
                <w:rFonts w:ascii="Arial" w:eastAsia="Arial" w:hAnsi="Arial"/>
                <w:b/>
                <w:sz w:val="18"/>
              </w:rPr>
              <w:t>(Opcional)</w:t>
            </w:r>
          </w:p>
        </w:tc>
      </w:tr>
      <w:tr w:rsidR="00F23E5B" w:rsidTr="00F23E5B">
        <w:trPr>
          <w:trHeight w:val="976"/>
        </w:trPr>
        <w:tc>
          <w:tcPr>
            <w:tcW w:w="42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Destinatario</w:t>
            </w:r>
            <w:r>
              <w:rPr>
                <w:rFonts w:ascii="Arial" w:eastAsia="Arial" w:hAnsi="Arial"/>
                <w:b/>
                <w:sz w:val="18"/>
              </w:rPr>
              <w:t>:</w:t>
            </w:r>
          </w:p>
        </w:tc>
        <w:tc>
          <w:tcPr>
            <w:tcW w:w="315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E5B" w:rsidRDefault="00F23E5B" w:rsidP="00F23E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7"/>
              <w:rPr>
                <w:rFonts w:ascii="Arial" w:eastAsia="Arial" w:hAnsi="Arial"/>
                <w:b/>
                <w:sz w:val="18"/>
                <w:lang w:val="pt-PT"/>
              </w:rPr>
            </w:pPr>
            <w:r>
              <w:rPr>
                <w:rFonts w:ascii="Arial" w:eastAsia="Arial" w:hAnsi="Arial"/>
                <w:b/>
                <w:sz w:val="18"/>
                <w:lang w:val="pt-PT"/>
              </w:rPr>
              <w:t>MINISTERIO DE SALUD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</w:tc>
        <w:tc>
          <w:tcPr>
            <w:tcW w:w="22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7"/>
              <w:rPr>
                <w:rFonts w:ascii="Arial" w:eastAsia="Arial" w:hAnsi="Arial"/>
                <w:b/>
                <w:sz w:val="18"/>
                <w:lang w:val="pt-PT"/>
              </w:rPr>
            </w:pPr>
          </w:p>
        </w:tc>
      </w:tr>
      <w:tr w:rsidR="00F23E5B" w:rsidTr="00F23E5B">
        <w:trPr>
          <w:trHeight w:val="573"/>
        </w:trPr>
        <w:tc>
          <w:tcPr>
            <w:tcW w:w="4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  <w:r>
              <w:rPr>
                <w:rFonts w:ascii="Arial" w:eastAsia="Arial" w:hAnsi="Arial"/>
                <w:sz w:val="18"/>
                <w:lang w:val="es-ES"/>
              </w:rPr>
              <w:t>Dos copias completadas y firmadas de esta declaración deben ser entregadas al transportador.</w:t>
            </w:r>
          </w:p>
        </w:tc>
        <w:tc>
          <w:tcPr>
            <w:tcW w:w="5358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23E5B" w:rsidRDefault="00F23E5B" w:rsidP="00F23E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7"/>
              <w:rPr>
                <w:rFonts w:ascii="Arial" w:eastAsia="Arial" w:hAnsi="Arial"/>
                <w:b/>
                <w:sz w:val="18"/>
                <w:lang w:val="es-ES"/>
              </w:rPr>
            </w:pPr>
          </w:p>
          <w:p w:rsidR="00F23E5B" w:rsidRDefault="00F23E5B" w:rsidP="00F23E5B">
            <w:pPr>
              <w:widowControl w:val="0"/>
              <w:tabs>
                <w:tab w:val="left" w:pos="708"/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  <w:r>
              <w:rPr>
                <w:rFonts w:ascii="Arial" w:eastAsia="Arial" w:hAnsi="Arial"/>
                <w:sz w:val="18"/>
                <w:lang w:val="es-ES"/>
              </w:rPr>
              <w:t>AVISO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  <w:r>
              <w:rPr>
                <w:rFonts w:ascii="Arial" w:eastAsia="Arial" w:hAnsi="Arial"/>
                <w:sz w:val="18"/>
                <w:lang w:val="es-ES"/>
              </w:rPr>
              <w:t>La falta del cumplimiento de todos los aspectos  de la reglamentación para artículos peligrosos será transgresión de las leyes en vigencia  y  sujeto a las penas legales. Esta declaración en ninguna  circunstancia  podrá  ser completada y/o firmada por intermedio de agente  de carga de IATA</w:t>
            </w:r>
          </w:p>
        </w:tc>
      </w:tr>
      <w:tr w:rsidR="00F23E5B" w:rsidTr="00F23E5B">
        <w:trPr>
          <w:trHeight w:val="352"/>
        </w:trPr>
        <w:tc>
          <w:tcPr>
            <w:tcW w:w="4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DETALLES DEL TRANSPORTE</w:t>
            </w: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3E5B" w:rsidRDefault="00F23E5B" w:rsidP="00F23E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7"/>
              <w:rPr>
                <w:rFonts w:ascii="Arial" w:eastAsia="Arial" w:hAnsi="Arial"/>
                <w:b/>
                <w:sz w:val="18"/>
                <w:lang w:val="pt-PT"/>
              </w:rPr>
            </w:pPr>
          </w:p>
        </w:tc>
      </w:tr>
      <w:tr w:rsidR="00F23E5B" w:rsidTr="00F23E5B">
        <w:trPr>
          <w:trHeight w:val="845"/>
        </w:trPr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Este embarque está dentro de los límites prescritos para: (tachar lo que no corresponda)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Aeropuerto de embarque</w:t>
            </w: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</w:tc>
      </w:tr>
      <w:tr w:rsidR="00F23E5B" w:rsidTr="00F23E5B">
        <w:trPr>
          <w:trHeight w:val="84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  <w:lang w:val="es-ES"/>
              </w:rPr>
            </w:pPr>
            <w:r w:rsidRPr="005A1950">
              <w:rPr>
                <w:rFonts w:ascii="Arial" w:eastAsia="Arial" w:hAnsi="Arial"/>
                <w:b/>
                <w:sz w:val="18"/>
                <w:lang w:val="es-ES"/>
              </w:rPr>
              <w:t>AERONAVE DE PASAJEROS Y CARGA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  <w:lang w:val="es-ES"/>
              </w:rPr>
            </w:pPr>
          </w:p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SOLAMENTE AERONAVE DE CARGA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</w:tc>
      </w:tr>
      <w:tr w:rsidR="00F23E5B" w:rsidTr="00F23E5B">
        <w:trPr>
          <w:trHeight w:val="487"/>
        </w:trPr>
        <w:tc>
          <w:tcPr>
            <w:tcW w:w="4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Aeropuerto de destino</w:t>
            </w:r>
          </w:p>
        </w:tc>
        <w:tc>
          <w:tcPr>
            <w:tcW w:w="53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Tipo de embarque (tachar lo que no corresponda)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7"/>
              <w:rPr>
                <w:rFonts w:ascii="Arial" w:eastAsia="Arial" w:hAnsi="Arial"/>
                <w:b/>
                <w:sz w:val="18"/>
                <w:lang w:val="pt-PT"/>
              </w:rPr>
            </w:pPr>
            <w:r>
              <w:rPr>
                <w:rFonts w:ascii="Arial" w:eastAsia="Arial" w:hAnsi="Arial"/>
                <w:b/>
                <w:sz w:val="18"/>
                <w:lang w:val="pt-PT"/>
              </w:rPr>
              <w:t>NO RADIOACTIVO       RADIOACTIVO</w:t>
            </w:r>
          </w:p>
        </w:tc>
      </w:tr>
      <w:tr w:rsidR="00F23E5B" w:rsidTr="00F23E5B">
        <w:trPr>
          <w:trHeight w:val="682"/>
        </w:trPr>
        <w:tc>
          <w:tcPr>
            <w:tcW w:w="96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6"/>
              <w:rPr>
                <w:rFonts w:ascii="Arial" w:eastAsia="Arial" w:hAnsi="Arial"/>
                <w:b/>
                <w:sz w:val="18"/>
                <w:lang w:val="es-ES"/>
              </w:rPr>
            </w:pPr>
            <w:r>
              <w:rPr>
                <w:rFonts w:ascii="Arial" w:eastAsia="Arial" w:hAnsi="Arial"/>
                <w:b/>
                <w:sz w:val="18"/>
                <w:lang w:val="es-ES"/>
              </w:rPr>
              <w:t>NATURALEZA Y CANTIDAD DE ARTICULOS  PELIGROSOS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  <w:r>
              <w:rPr>
                <w:rFonts w:ascii="Arial" w:eastAsia="Arial" w:hAnsi="Arial"/>
                <w:sz w:val="18"/>
                <w:lang w:val="es-ES"/>
              </w:rPr>
              <w:t>Vea sub-sección 8.1 de la Reglamentación IATA para artículos  peligrosos</w:t>
            </w:r>
          </w:p>
        </w:tc>
      </w:tr>
      <w:tr w:rsidR="00F23E5B" w:rsidTr="00F23E5B">
        <w:trPr>
          <w:trHeight w:val="1112"/>
        </w:trPr>
        <w:tc>
          <w:tcPr>
            <w:tcW w:w="5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  <w:lang w:val="es-ES"/>
              </w:rPr>
            </w:pPr>
          </w:p>
          <w:p w:rsidR="00F23E5B" w:rsidRDefault="00F23E5B" w:rsidP="00F23E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Arial" w:hAnsi="Arial"/>
                <w:b/>
                <w:sz w:val="18"/>
                <w:lang w:val="pt-PT"/>
              </w:rPr>
            </w:pPr>
            <w:r>
              <w:rPr>
                <w:rFonts w:ascii="Arial" w:hAnsi="Arial"/>
                <w:b/>
                <w:sz w:val="18"/>
                <w:lang w:val="pt-PT"/>
              </w:rPr>
              <w:t>Identificación de artículos peligrosos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  <w:lang w:val="es-ES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  <w:lang w:val="es-ES"/>
              </w:rPr>
            </w:pPr>
            <w:r>
              <w:rPr>
                <w:rFonts w:ascii="Arial" w:eastAsia="Arial" w:hAnsi="Arial"/>
                <w:b/>
                <w:sz w:val="18"/>
                <w:lang w:val="es-ES"/>
              </w:rPr>
              <w:t>Cantidad y tipo de embalaje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Instrucciones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De embalaje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Autorización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</w:tc>
      </w:tr>
      <w:tr w:rsidR="00F23E5B" w:rsidTr="00F23E5B">
        <w:trPr>
          <w:trHeight w:val="667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lastRenderedPageBreak/>
              <w:t>Nombre correcto para transporte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sz w:val="18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Clase</w:t>
            </w:r>
          </w:p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o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División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N° UN</w:t>
            </w:r>
          </w:p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o ID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Grupo</w:t>
            </w:r>
          </w:p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de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embalaje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Riesgo</w:t>
            </w:r>
          </w:p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Subsi-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Diario</w:t>
            </w: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</w:p>
        </w:tc>
      </w:tr>
      <w:tr w:rsidR="00F23E5B" w:rsidTr="00F23E5B">
        <w:trPr>
          <w:trHeight w:val="162"/>
        </w:trPr>
        <w:tc>
          <w:tcPr>
            <w:tcW w:w="96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Pr="005A1950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b/>
                <w:sz w:val="18"/>
              </w:rPr>
            </w:pPr>
            <w:r w:rsidRPr="005A1950">
              <w:rPr>
                <w:rFonts w:ascii="Arial" w:eastAsia="Arial" w:hAnsi="Arial"/>
                <w:b/>
                <w:sz w:val="18"/>
              </w:rPr>
              <w:t>Informaciones adicionales de manejo</w:t>
            </w:r>
          </w:p>
        </w:tc>
      </w:tr>
      <w:tr w:rsidR="00F23E5B" w:rsidTr="00F23E5B">
        <w:trPr>
          <w:trHeight w:val="1677"/>
        </w:trPr>
        <w:tc>
          <w:tcPr>
            <w:tcW w:w="4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  <w:r>
              <w:rPr>
                <w:rFonts w:ascii="Arial" w:eastAsia="Arial" w:hAnsi="Arial"/>
                <w:sz w:val="18"/>
                <w:lang w:val="es-ES"/>
              </w:rPr>
              <w:t>Declaro que el contenido de este embarque está descripto encima de manera  correcta y precisa por el nombre  propio para el embarque, y está  clasificado, embalado, marcado y etiquetado, y se encuentra en todos los aspectos  en condiciones  apropiadas para el transporte de acuerdo con las reglamentaciones gubernamentales, internacionales y nacionales aplicables.</w:t>
            </w:r>
          </w:p>
        </w:tc>
        <w:tc>
          <w:tcPr>
            <w:tcW w:w="49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  <w:r>
              <w:rPr>
                <w:rFonts w:ascii="Arial" w:eastAsia="Arial" w:hAnsi="Arial"/>
                <w:sz w:val="18"/>
                <w:lang w:val="es-ES"/>
              </w:rPr>
              <w:t>Nombre/título del firmante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  <w:r>
              <w:rPr>
                <w:rFonts w:ascii="Arial" w:eastAsia="Arial" w:hAnsi="Arial"/>
                <w:sz w:val="18"/>
                <w:lang w:val="es-ES"/>
              </w:rPr>
              <w:t>Lugar y fecha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  <w:lang w:val="es-ES"/>
              </w:rPr>
            </w:pP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Firma</w:t>
            </w:r>
          </w:p>
          <w:p w:rsidR="00F23E5B" w:rsidRDefault="00F23E5B" w:rsidP="00F23E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(vea aviso anterior)</w:t>
            </w:r>
          </w:p>
        </w:tc>
      </w:tr>
    </w:tbl>
    <w:p w:rsidR="007875D9" w:rsidRDefault="007875D9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406463" w:rsidRDefault="00406463" w:rsidP="00E34D22">
      <w:pPr>
        <w:spacing w:after="0" w:line="360" w:lineRule="auto"/>
        <w:jc w:val="both"/>
        <w:rPr>
          <w:rFonts w:ascii="Arial" w:hAnsi="Arial"/>
          <w:lang w:val="es-ES"/>
        </w:rPr>
      </w:pPr>
    </w:p>
    <w:p w:rsidR="007875D9" w:rsidRDefault="007875D9" w:rsidP="00E34D22">
      <w:pPr>
        <w:spacing w:after="0" w:line="360" w:lineRule="auto"/>
        <w:jc w:val="both"/>
        <w:rPr>
          <w:rFonts w:ascii="Arial" w:hAnsi="Arial"/>
        </w:rPr>
      </w:pPr>
    </w:p>
    <w:p w:rsidR="008D1138" w:rsidRDefault="008D1138" w:rsidP="00E34D22">
      <w:pPr>
        <w:spacing w:after="0" w:line="360" w:lineRule="auto"/>
        <w:jc w:val="both"/>
      </w:pPr>
    </w:p>
    <w:p w:rsidR="008D1138" w:rsidRDefault="008D1138" w:rsidP="00E34D22">
      <w:pPr>
        <w:spacing w:after="0" w:line="360" w:lineRule="auto"/>
        <w:jc w:val="both"/>
      </w:pPr>
      <w:r>
        <w:rPr>
          <w:noProof/>
          <w:lang w:eastAsia="es-EC"/>
        </w:rPr>
        <w:drawing>
          <wp:inline distT="0" distB="0" distL="0" distR="0">
            <wp:extent cx="5612130" cy="2560546"/>
            <wp:effectExtent l="1905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6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138" w:rsidRDefault="008D1138" w:rsidP="00E34D22">
      <w:pPr>
        <w:spacing w:after="0" w:line="360" w:lineRule="auto"/>
        <w:jc w:val="both"/>
      </w:pPr>
    </w:p>
    <w:p w:rsidR="008D1138" w:rsidRDefault="008D1138" w:rsidP="00E34D22">
      <w:pPr>
        <w:spacing w:after="0" w:line="360" w:lineRule="auto"/>
        <w:jc w:val="both"/>
      </w:pPr>
    </w:p>
    <w:p w:rsidR="008D1138" w:rsidRDefault="008D1138" w:rsidP="00E34D22">
      <w:pPr>
        <w:spacing w:after="0" w:line="360" w:lineRule="auto"/>
        <w:jc w:val="both"/>
      </w:pPr>
    </w:p>
    <w:sectPr w:rsidR="008D1138" w:rsidSect="00C14AC1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96" w:rsidRDefault="00E62596" w:rsidP="00D83B2B">
      <w:pPr>
        <w:spacing w:after="0" w:line="240" w:lineRule="auto"/>
      </w:pPr>
      <w:r>
        <w:separator/>
      </w:r>
    </w:p>
  </w:endnote>
  <w:endnote w:type="continuationSeparator" w:id="0">
    <w:p w:rsidR="00E62596" w:rsidRDefault="00E62596" w:rsidP="00D8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2B" w:rsidRDefault="00D83B2B">
    <w:pPr>
      <w:pStyle w:val="Piedepgina"/>
    </w:pPr>
  </w:p>
  <w:p w:rsidR="00D83B2B" w:rsidRDefault="00D83B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96" w:rsidRDefault="00E62596" w:rsidP="00D83B2B">
      <w:pPr>
        <w:spacing w:after="0" w:line="240" w:lineRule="auto"/>
      </w:pPr>
      <w:r>
        <w:separator/>
      </w:r>
    </w:p>
  </w:footnote>
  <w:footnote w:type="continuationSeparator" w:id="0">
    <w:p w:rsidR="00E62596" w:rsidRDefault="00E62596" w:rsidP="00D83B2B">
      <w:pPr>
        <w:spacing w:after="0" w:line="240" w:lineRule="auto"/>
      </w:pPr>
      <w:r>
        <w:continuationSeparator/>
      </w:r>
    </w:p>
  </w:footnote>
  <w:footnote w:id="1">
    <w:p w:rsidR="00E34D22" w:rsidRPr="00E34D22" w:rsidRDefault="00E34D22" w:rsidP="00E34D22">
      <w:pPr>
        <w:pStyle w:val="Textonotapie"/>
        <w:jc w:val="both"/>
        <w:rPr>
          <w:lang w:val="es-ES"/>
        </w:rPr>
      </w:pPr>
      <w:r w:rsidRPr="00E34D22">
        <w:rPr>
          <w:rStyle w:val="Refdenotaalpie"/>
          <w:b/>
        </w:rPr>
        <w:footnoteRef/>
      </w:r>
      <w:r w:rsidRPr="00E34D22">
        <w:rPr>
          <w:b/>
        </w:rPr>
        <w:t xml:space="preserve"> </w:t>
      </w:r>
      <w:r w:rsidRPr="00E34D22">
        <w:rPr>
          <w:b/>
          <w:lang w:val="es-ES"/>
        </w:rPr>
        <w:t xml:space="preserve">ORGANIZACIÓN </w:t>
      </w:r>
      <w:r>
        <w:rPr>
          <w:b/>
          <w:lang w:val="es-ES"/>
        </w:rPr>
        <w:t>MUN</w:t>
      </w:r>
      <w:r w:rsidRPr="00E34D22">
        <w:rPr>
          <w:b/>
          <w:lang w:val="es-ES"/>
        </w:rPr>
        <w:t>DIAL DE LA SALUD</w:t>
      </w:r>
      <w:r>
        <w:rPr>
          <w:lang w:val="es-ES"/>
        </w:rPr>
        <w:t xml:space="preserve">. Guía sobre reglamentación relativa al transporte de sustancias infecciosas. 2011-2012.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85" w:rsidRDefault="00E6259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7151" o:spid="_x0000_s2050" type="#_x0000_t136" style="position:absolute;margin-left:0;margin-top:0;width:506.2pt;height:116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 Construcc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F3B" w:rsidRDefault="00E6259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7152" o:spid="_x0000_s2051" type="#_x0000_t136" style="position:absolute;margin-left:0;margin-top:0;width:506.2pt;height:116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 Construccion"/>
          <w10:wrap anchorx="margin" anchory="margin"/>
        </v:shape>
      </w:pict>
    </w:r>
  </w:p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69"/>
      <w:gridCol w:w="4424"/>
      <w:gridCol w:w="2147"/>
    </w:tblGrid>
    <w:tr w:rsidR="003029D5" w:rsidRPr="00AE3CDA" w:rsidTr="00DF5E71">
      <w:trPr>
        <w:trHeight w:val="527"/>
      </w:trPr>
      <w:tc>
        <w:tcPr>
          <w:tcW w:w="3069" w:type="dxa"/>
          <w:vMerge w:val="restart"/>
          <w:vAlign w:val="center"/>
        </w:tcPr>
        <w:p w:rsidR="003029D5" w:rsidRPr="00AE3CDA" w:rsidRDefault="003029D5" w:rsidP="00DF5E71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es-EC"/>
            </w:rPr>
            <w:drawing>
              <wp:inline distT="0" distB="0" distL="0" distR="0" wp14:anchorId="202F833C" wp14:editId="59CA6A10">
                <wp:extent cx="1609725" cy="521744"/>
                <wp:effectExtent l="0" t="0" r="0" b="0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526" cy="5236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4" w:type="dxa"/>
          <w:vMerge w:val="restart"/>
          <w:shd w:val="clear" w:color="auto" w:fill="auto"/>
          <w:vAlign w:val="center"/>
        </w:tcPr>
        <w:p w:rsidR="003029D5" w:rsidRPr="004A2702" w:rsidRDefault="003029D5" w:rsidP="00E3355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</w:rPr>
            <w:t xml:space="preserve">PROTOCOLO PARA TRANSPORTE INTERNACIONAL VÍA AÉREA </w:t>
          </w:r>
          <w:r w:rsidR="00E3355F">
            <w:rPr>
              <w:rFonts w:ascii="Arial" w:hAnsi="Arial" w:cs="Arial"/>
              <w:b/>
            </w:rPr>
            <w:t>DE TEJIDOS Y CÉLULAS</w:t>
          </w:r>
        </w:p>
      </w:tc>
      <w:tc>
        <w:tcPr>
          <w:tcW w:w="2147" w:type="dxa"/>
          <w:vAlign w:val="center"/>
        </w:tcPr>
        <w:p w:rsidR="003029D5" w:rsidRPr="004A2702" w:rsidRDefault="003029D5" w:rsidP="00DF5E71">
          <w:pPr>
            <w:pStyle w:val="Encabezado"/>
            <w:rPr>
              <w:rFonts w:ascii="Arial" w:hAnsi="Arial" w:cs="Arial"/>
              <w:sz w:val="20"/>
            </w:rPr>
          </w:pPr>
          <w:r w:rsidRPr="004A2702">
            <w:rPr>
              <w:rFonts w:ascii="Arial" w:hAnsi="Arial" w:cs="Arial"/>
              <w:sz w:val="20"/>
            </w:rPr>
            <w:t>FECHA</w:t>
          </w:r>
          <w:r>
            <w:rPr>
              <w:rFonts w:ascii="Arial" w:hAnsi="Arial" w:cs="Arial"/>
              <w:sz w:val="20"/>
            </w:rPr>
            <w:t xml:space="preserve">: </w:t>
          </w:r>
          <w:r w:rsidRPr="007D6550">
            <w:rPr>
              <w:rFonts w:ascii="Arial" w:hAnsi="Arial" w:cs="Arial"/>
              <w:sz w:val="20"/>
            </w:rPr>
            <w:t>11-</w:t>
          </w:r>
          <w:r w:rsidRPr="004A2702">
            <w:rPr>
              <w:rFonts w:ascii="Arial" w:hAnsi="Arial" w:cs="Arial"/>
              <w:sz w:val="20"/>
            </w:rPr>
            <w:t>04-2014</w:t>
          </w:r>
        </w:p>
      </w:tc>
    </w:tr>
    <w:tr w:rsidR="003029D5" w:rsidRPr="00AE3CDA" w:rsidTr="00DF5E71">
      <w:trPr>
        <w:trHeight w:val="70"/>
      </w:trPr>
      <w:tc>
        <w:tcPr>
          <w:tcW w:w="3069" w:type="dxa"/>
          <w:vMerge/>
        </w:tcPr>
        <w:p w:rsidR="003029D5" w:rsidRPr="00AE3CDA" w:rsidRDefault="003029D5" w:rsidP="00DF5E71">
          <w:pPr>
            <w:jc w:val="center"/>
            <w:rPr>
              <w:rFonts w:ascii="Arial" w:hAnsi="Arial" w:cs="Arial"/>
            </w:rPr>
          </w:pPr>
        </w:p>
      </w:tc>
      <w:tc>
        <w:tcPr>
          <w:tcW w:w="4424" w:type="dxa"/>
          <w:vMerge/>
          <w:shd w:val="clear" w:color="auto" w:fill="auto"/>
        </w:tcPr>
        <w:p w:rsidR="003029D5" w:rsidRPr="00AE3CDA" w:rsidRDefault="003029D5" w:rsidP="00DF5E71">
          <w:pPr>
            <w:pStyle w:val="Encabezado"/>
            <w:rPr>
              <w:rFonts w:ascii="Arial" w:hAnsi="Arial" w:cs="Arial"/>
            </w:rPr>
          </w:pPr>
        </w:p>
      </w:tc>
      <w:tc>
        <w:tcPr>
          <w:tcW w:w="2147" w:type="dxa"/>
          <w:vAlign w:val="center"/>
        </w:tcPr>
        <w:p w:rsidR="003029D5" w:rsidRPr="004A2702" w:rsidRDefault="003029D5" w:rsidP="00DF5E71">
          <w:pPr>
            <w:pStyle w:val="Encabezado"/>
            <w:rPr>
              <w:rFonts w:ascii="Arial" w:hAnsi="Arial" w:cs="Arial"/>
              <w:sz w:val="20"/>
              <w:u w:val="single"/>
            </w:rPr>
          </w:pPr>
          <w:r w:rsidRPr="004A2702">
            <w:rPr>
              <w:rFonts w:ascii="Arial" w:hAnsi="Arial" w:cs="Arial"/>
              <w:b/>
              <w:sz w:val="20"/>
            </w:rPr>
            <w:t xml:space="preserve">CÓDIGO: </w:t>
          </w:r>
          <w:r>
            <w:rPr>
              <w:rFonts w:ascii="Arial" w:hAnsi="Arial" w:cs="Arial"/>
              <w:sz w:val="20"/>
            </w:rPr>
            <w:t>PRL-13-PT</w:t>
          </w:r>
          <w:r w:rsidR="00AF4462">
            <w:rPr>
              <w:rFonts w:ascii="Arial" w:hAnsi="Arial" w:cs="Arial"/>
              <w:sz w:val="20"/>
            </w:rPr>
            <w:t>-02</w:t>
          </w:r>
        </w:p>
      </w:tc>
    </w:tr>
    <w:tr w:rsidR="003029D5" w:rsidRPr="00AE3CDA" w:rsidTr="00DF5E71">
      <w:trPr>
        <w:trHeight w:val="228"/>
      </w:trPr>
      <w:tc>
        <w:tcPr>
          <w:tcW w:w="3069" w:type="dxa"/>
          <w:vMerge/>
        </w:tcPr>
        <w:p w:rsidR="003029D5" w:rsidRPr="00AE3CDA" w:rsidRDefault="003029D5" w:rsidP="00DF5E71">
          <w:pPr>
            <w:jc w:val="center"/>
            <w:rPr>
              <w:rFonts w:ascii="Arial" w:hAnsi="Arial" w:cs="Arial"/>
            </w:rPr>
          </w:pPr>
        </w:p>
      </w:tc>
      <w:tc>
        <w:tcPr>
          <w:tcW w:w="4424" w:type="dxa"/>
          <w:shd w:val="clear" w:color="auto" w:fill="auto"/>
          <w:vAlign w:val="center"/>
        </w:tcPr>
        <w:p w:rsidR="003029D5" w:rsidRPr="00AE3CDA" w:rsidRDefault="003029D5" w:rsidP="00DF5E71">
          <w:pPr>
            <w:pStyle w:val="Encabezado"/>
            <w:jc w:val="center"/>
            <w:rPr>
              <w:rFonts w:ascii="Arial" w:hAnsi="Arial" w:cs="Arial"/>
              <w:b/>
            </w:rPr>
          </w:pPr>
          <w:r w:rsidRPr="00AE3CDA">
            <w:rPr>
              <w:rFonts w:ascii="Arial" w:hAnsi="Arial" w:cs="Arial"/>
              <w:b/>
            </w:rPr>
            <w:t>Versión: 00</w:t>
          </w:r>
          <w:r>
            <w:rPr>
              <w:rFonts w:ascii="Arial" w:hAnsi="Arial" w:cs="Arial"/>
              <w:b/>
            </w:rPr>
            <w:t>1</w:t>
          </w:r>
        </w:p>
      </w:tc>
      <w:tc>
        <w:tcPr>
          <w:tcW w:w="2147" w:type="dxa"/>
          <w:vMerge w:val="restart"/>
          <w:vAlign w:val="center"/>
        </w:tcPr>
        <w:p w:rsidR="003029D5" w:rsidRPr="004A2702" w:rsidRDefault="003029D5" w:rsidP="00DF5E71">
          <w:pPr>
            <w:pStyle w:val="Encabezado"/>
            <w:rPr>
              <w:rFonts w:ascii="Arial" w:hAnsi="Arial" w:cs="Arial"/>
              <w:sz w:val="20"/>
            </w:rPr>
          </w:pPr>
          <w:r w:rsidRPr="004A2702">
            <w:rPr>
              <w:rFonts w:ascii="Arial" w:hAnsi="Arial" w:cs="Arial"/>
              <w:sz w:val="20"/>
            </w:rPr>
            <w:t xml:space="preserve">PÁGINA: </w:t>
          </w:r>
          <w:r w:rsidRPr="004A2702">
            <w:rPr>
              <w:rStyle w:val="Nmerodepgina"/>
              <w:rFonts w:ascii="Arial" w:hAnsi="Arial" w:cs="Arial"/>
              <w:b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sz w:val="20"/>
            </w:rPr>
            <w:instrText xml:space="preserve"> PAGE </w:instrText>
          </w:r>
          <w:r w:rsidRPr="004A2702">
            <w:rPr>
              <w:rStyle w:val="Nmerodepgina"/>
              <w:rFonts w:ascii="Arial" w:hAnsi="Arial" w:cs="Arial"/>
              <w:b/>
              <w:sz w:val="20"/>
            </w:rPr>
            <w:fldChar w:fldCharType="separate"/>
          </w:r>
          <w:r w:rsidR="00A165BB">
            <w:rPr>
              <w:rStyle w:val="Nmerodepgina"/>
              <w:rFonts w:ascii="Arial" w:hAnsi="Arial" w:cs="Arial"/>
              <w:noProof/>
              <w:sz w:val="20"/>
            </w:rPr>
            <w:t>1</w:t>
          </w:r>
          <w:r w:rsidRPr="004A2702">
            <w:rPr>
              <w:rStyle w:val="Nmerodepgina"/>
              <w:rFonts w:ascii="Arial" w:hAnsi="Arial" w:cs="Arial"/>
              <w:b/>
              <w:sz w:val="20"/>
            </w:rPr>
            <w:fldChar w:fldCharType="end"/>
          </w:r>
          <w:r w:rsidRPr="004A2702">
            <w:rPr>
              <w:rStyle w:val="Nmerodepgina"/>
              <w:rFonts w:ascii="Arial" w:hAnsi="Arial" w:cs="Arial"/>
              <w:sz w:val="20"/>
            </w:rPr>
            <w:t xml:space="preserve"> de </w:t>
          </w:r>
          <w:r w:rsidRPr="004A2702">
            <w:rPr>
              <w:rStyle w:val="Nmerodepgina"/>
              <w:rFonts w:ascii="Arial" w:hAnsi="Arial" w:cs="Arial"/>
              <w:b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sz w:val="20"/>
            </w:rPr>
            <w:instrText xml:space="preserve"> NUMPAGES </w:instrText>
          </w:r>
          <w:r w:rsidRPr="004A2702">
            <w:rPr>
              <w:rStyle w:val="Nmerodepgina"/>
              <w:rFonts w:ascii="Arial" w:hAnsi="Arial" w:cs="Arial"/>
              <w:b/>
              <w:sz w:val="20"/>
            </w:rPr>
            <w:fldChar w:fldCharType="separate"/>
          </w:r>
          <w:r w:rsidR="00A165BB">
            <w:rPr>
              <w:rStyle w:val="Nmerodepgina"/>
              <w:rFonts w:ascii="Arial" w:hAnsi="Arial" w:cs="Arial"/>
              <w:noProof/>
              <w:sz w:val="20"/>
            </w:rPr>
            <w:t>15</w:t>
          </w:r>
          <w:r w:rsidRPr="004A2702">
            <w:rPr>
              <w:rStyle w:val="Nmerodepgina"/>
              <w:rFonts w:ascii="Arial" w:hAnsi="Arial" w:cs="Arial"/>
              <w:b/>
              <w:sz w:val="20"/>
            </w:rPr>
            <w:fldChar w:fldCharType="end"/>
          </w:r>
        </w:p>
      </w:tc>
    </w:tr>
    <w:tr w:rsidR="003029D5" w:rsidRPr="00AE3CDA" w:rsidTr="00DF5E71">
      <w:trPr>
        <w:trHeight w:val="574"/>
      </w:trPr>
      <w:tc>
        <w:tcPr>
          <w:tcW w:w="3069" w:type="dxa"/>
          <w:vMerge/>
        </w:tcPr>
        <w:p w:rsidR="003029D5" w:rsidRPr="00AE3CDA" w:rsidRDefault="003029D5" w:rsidP="00DF5E71">
          <w:pPr>
            <w:jc w:val="center"/>
            <w:rPr>
              <w:rFonts w:ascii="Arial" w:hAnsi="Arial" w:cs="Arial"/>
            </w:rPr>
          </w:pPr>
        </w:p>
      </w:tc>
      <w:tc>
        <w:tcPr>
          <w:tcW w:w="4424" w:type="dxa"/>
          <w:shd w:val="clear" w:color="auto" w:fill="auto"/>
          <w:vAlign w:val="center"/>
        </w:tcPr>
        <w:p w:rsidR="003029D5" w:rsidRPr="00AE3CDA" w:rsidRDefault="003029D5" w:rsidP="00DF5E71">
          <w:pPr>
            <w:pStyle w:val="Encabezado"/>
            <w:rPr>
              <w:rFonts w:ascii="Arial" w:hAnsi="Arial" w:cs="Arial"/>
              <w:b/>
              <w:sz w:val="10"/>
            </w:rPr>
          </w:pPr>
          <w:r w:rsidRPr="00AE3CDA">
            <w:rPr>
              <w:rFonts w:ascii="Arial" w:hAnsi="Arial" w:cs="Arial"/>
              <w:b/>
              <w:sz w:val="12"/>
            </w:rPr>
            <w:t xml:space="preserve">PUBLICADO   </w:t>
          </w:r>
          <w:r>
            <w:rPr>
              <w:rFonts w:ascii="Arial" w:hAnsi="Arial" w:cs="Arial"/>
              <w:b/>
              <w:sz w:val="12"/>
            </w:rPr>
            <w:t xml:space="preserve">              </w:t>
          </w:r>
          <w:r w:rsidRPr="00AE3CDA">
            <w:rPr>
              <w:rFonts w:ascii="Arial" w:hAnsi="Arial" w:cs="Arial"/>
              <w:b/>
              <w:sz w:val="12"/>
            </w:rPr>
            <w:t>EN ANALISIS                 BORRADOR</w:t>
          </w:r>
          <w:r>
            <w:rPr>
              <w:rFonts w:ascii="Arial" w:hAnsi="Arial" w:cs="Arial"/>
              <w:b/>
              <w:sz w:val="12"/>
            </w:rPr>
            <w:t xml:space="preserve">      </w:t>
          </w:r>
          <w:r w:rsidRPr="00AE3CDA">
            <w:rPr>
              <w:rFonts w:ascii="Arial" w:hAnsi="Arial" w:cs="Arial"/>
              <w:b/>
              <w:sz w:val="12"/>
            </w:rPr>
            <w:t>OBSOLETO</w:t>
          </w:r>
        </w:p>
        <w:p w:rsidR="003029D5" w:rsidRPr="00AE3CDA" w:rsidRDefault="003029D5" w:rsidP="00DF5E71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33D09A75" wp14:editId="64C23F70">
                    <wp:simplePos x="0" y="0"/>
                    <wp:positionH relativeFrom="column">
                      <wp:posOffset>2380615</wp:posOffset>
                    </wp:positionH>
                    <wp:positionV relativeFrom="paragraph">
                      <wp:posOffset>33020</wp:posOffset>
                    </wp:positionV>
                    <wp:extent cx="161925" cy="117475"/>
                    <wp:effectExtent l="0" t="0" r="28575" b="15875"/>
                    <wp:wrapNone/>
                    <wp:docPr id="11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0" o:spid="_x0000_s1026" style="position:absolute;margin-left:187.45pt;margin-top:2.6pt;width:12.75pt;height: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0B0889BA" wp14:editId="61985679">
                    <wp:simplePos x="0" y="0"/>
                    <wp:positionH relativeFrom="column">
                      <wp:posOffset>972820</wp:posOffset>
                    </wp:positionH>
                    <wp:positionV relativeFrom="paragraph">
                      <wp:posOffset>44450</wp:posOffset>
                    </wp:positionV>
                    <wp:extent cx="161925" cy="117475"/>
                    <wp:effectExtent l="0" t="0" r="28575" b="15875"/>
                    <wp:wrapNone/>
                    <wp:docPr id="13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9" o:spid="_x0000_s1026" style="position:absolute;margin-left:76.6pt;margin-top:3.5pt;width:12.75pt;height: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" filled="f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C3A38C0" wp14:editId="509FDA97">
                    <wp:simplePos x="0" y="0"/>
                    <wp:positionH relativeFrom="column">
                      <wp:posOffset>1744345</wp:posOffset>
                    </wp:positionH>
                    <wp:positionV relativeFrom="paragraph">
                      <wp:posOffset>34925</wp:posOffset>
                    </wp:positionV>
                    <wp:extent cx="161925" cy="117475"/>
                    <wp:effectExtent l="0" t="0" r="28575" b="15875"/>
                    <wp:wrapNone/>
                    <wp:docPr id="21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8" o:spid="_x0000_s1026" style="position:absolute;margin-left:137.35pt;margin-top:2.75pt;width:12.75pt;height: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esJAIAAD4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F91BF94" wp14:editId="356F59BF">
                    <wp:simplePos x="0" y="0"/>
                    <wp:positionH relativeFrom="column">
                      <wp:posOffset>124460</wp:posOffset>
                    </wp:positionH>
                    <wp:positionV relativeFrom="paragraph">
                      <wp:posOffset>26670</wp:posOffset>
                    </wp:positionV>
                    <wp:extent cx="161925" cy="117475"/>
                    <wp:effectExtent l="0" t="0" r="28575" b="15875"/>
                    <wp:wrapNone/>
                    <wp:docPr id="22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7" o:spid="_x0000_s1026" style="position:absolute;margin-left:9.8pt;margin-top:2.1pt;width:12.75pt;height: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" fillcolor="#c00000"/>
                </w:pict>
              </mc:Fallback>
            </mc:AlternateContent>
          </w:r>
        </w:p>
      </w:tc>
      <w:tc>
        <w:tcPr>
          <w:tcW w:w="2147" w:type="dxa"/>
          <w:vMerge/>
          <w:vAlign w:val="center"/>
        </w:tcPr>
        <w:p w:rsidR="003029D5" w:rsidRPr="00AE3CDA" w:rsidRDefault="003029D5" w:rsidP="00DF5E71">
          <w:pPr>
            <w:pStyle w:val="Ttulo6"/>
            <w:rPr>
              <w:rFonts w:ascii="Arial" w:hAnsi="Arial" w:cs="Arial"/>
            </w:rPr>
          </w:pPr>
        </w:p>
      </w:tc>
    </w:tr>
  </w:tbl>
  <w:p w:rsidR="00A81E85" w:rsidRDefault="00A81E8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85" w:rsidRDefault="00E6259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7150" o:spid="_x0000_s2049" type="#_x0000_t136" style="position:absolute;margin-left:0;margin-top:0;width:506.2pt;height:116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 Construcc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0A5"/>
    <w:multiLevelType w:val="hybridMultilevel"/>
    <w:tmpl w:val="D8F602B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97C83"/>
    <w:multiLevelType w:val="hybridMultilevel"/>
    <w:tmpl w:val="DEDE7A5C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AAE7501"/>
    <w:multiLevelType w:val="hybridMultilevel"/>
    <w:tmpl w:val="EF4260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203DB"/>
    <w:multiLevelType w:val="hybridMultilevel"/>
    <w:tmpl w:val="7486D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726A9"/>
    <w:multiLevelType w:val="multilevel"/>
    <w:tmpl w:val="CDB29D5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4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12" w:hanging="1800"/>
      </w:pPr>
      <w:rPr>
        <w:rFonts w:hint="default"/>
      </w:rPr>
    </w:lvl>
  </w:abstractNum>
  <w:abstractNum w:abstractNumId="5">
    <w:nsid w:val="2AA23AED"/>
    <w:multiLevelType w:val="hybridMultilevel"/>
    <w:tmpl w:val="AEDE087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876FD"/>
    <w:multiLevelType w:val="hybridMultilevel"/>
    <w:tmpl w:val="14BCB19C"/>
    <w:lvl w:ilvl="0" w:tplc="FFFFFFFF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730244B"/>
    <w:multiLevelType w:val="hybridMultilevel"/>
    <w:tmpl w:val="630659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86C42E2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u w:val="none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40B42"/>
    <w:multiLevelType w:val="hybridMultilevel"/>
    <w:tmpl w:val="2FE0FDB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B86012"/>
    <w:multiLevelType w:val="hybridMultilevel"/>
    <w:tmpl w:val="04F801F0"/>
    <w:lvl w:ilvl="0" w:tplc="FFFFFFFF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38"/>
    <w:rsid w:val="0001041E"/>
    <w:rsid w:val="00075F3B"/>
    <w:rsid w:val="001B50D0"/>
    <w:rsid w:val="002D1555"/>
    <w:rsid w:val="002F4B3C"/>
    <w:rsid w:val="003029D5"/>
    <w:rsid w:val="00342E46"/>
    <w:rsid w:val="003A5DA2"/>
    <w:rsid w:val="003B0B68"/>
    <w:rsid w:val="00406463"/>
    <w:rsid w:val="0044239C"/>
    <w:rsid w:val="00467B62"/>
    <w:rsid w:val="00481DF0"/>
    <w:rsid w:val="004E0711"/>
    <w:rsid w:val="00522743"/>
    <w:rsid w:val="00555974"/>
    <w:rsid w:val="005F41FE"/>
    <w:rsid w:val="006647D9"/>
    <w:rsid w:val="006B3AB0"/>
    <w:rsid w:val="00723274"/>
    <w:rsid w:val="00761DE4"/>
    <w:rsid w:val="00783374"/>
    <w:rsid w:val="007875D9"/>
    <w:rsid w:val="00852314"/>
    <w:rsid w:val="008D1138"/>
    <w:rsid w:val="008D4D14"/>
    <w:rsid w:val="00A165BB"/>
    <w:rsid w:val="00A566CB"/>
    <w:rsid w:val="00A81E85"/>
    <w:rsid w:val="00AF4462"/>
    <w:rsid w:val="00B761FC"/>
    <w:rsid w:val="00B84A95"/>
    <w:rsid w:val="00BA7FDD"/>
    <w:rsid w:val="00BD5DD6"/>
    <w:rsid w:val="00C1035B"/>
    <w:rsid w:val="00C14AC1"/>
    <w:rsid w:val="00C179FA"/>
    <w:rsid w:val="00D83B2B"/>
    <w:rsid w:val="00E3355F"/>
    <w:rsid w:val="00E34D22"/>
    <w:rsid w:val="00E44F3B"/>
    <w:rsid w:val="00E62596"/>
    <w:rsid w:val="00F23E5B"/>
    <w:rsid w:val="00F7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AC1"/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29D5"/>
    <w:pPr>
      <w:keepNext/>
      <w:keepLines/>
      <w:spacing w:before="80" w:after="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13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1138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semiHidden/>
    <w:unhideWhenUsed/>
    <w:rsid w:val="007875D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875D9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angra3detindependiente">
    <w:name w:val="Body Text Indent 3"/>
    <w:basedOn w:val="Normal"/>
    <w:link w:val="Sangra3detindependienteCar"/>
    <w:semiHidden/>
    <w:rsid w:val="007875D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7875D9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Textoindependiente21">
    <w:name w:val="Texto independiente 21"/>
    <w:basedOn w:val="Normal"/>
    <w:rsid w:val="007875D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Arial" w:hAnsi="Arial" w:cs="Arial"/>
      <w:sz w:val="24"/>
      <w:szCs w:val="20"/>
      <w:lang w:val="pt-BR" w:eastAsia="es-ES"/>
    </w:rPr>
  </w:style>
  <w:style w:type="paragraph" w:styleId="Encabezado">
    <w:name w:val="header"/>
    <w:basedOn w:val="Normal"/>
    <w:link w:val="EncabezadoCar"/>
    <w:unhideWhenUsed/>
    <w:rsid w:val="00D83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3B2B"/>
  </w:style>
  <w:style w:type="paragraph" w:styleId="Piedepgina">
    <w:name w:val="footer"/>
    <w:basedOn w:val="Normal"/>
    <w:link w:val="PiedepginaCar"/>
    <w:uiPriority w:val="99"/>
    <w:unhideWhenUsed/>
    <w:rsid w:val="00D83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B2B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34D2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34D2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34D2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34D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4D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4D2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29D5"/>
    <w:rPr>
      <w:rFonts w:asciiTheme="majorHAnsi" w:eastAsiaTheme="majorEastAsia" w:hAnsiTheme="majorHAnsi" w:cstheme="majorBidi"/>
      <w:color w:val="595959" w:themeColor="text1" w:themeTint="A6"/>
      <w:sz w:val="21"/>
      <w:szCs w:val="21"/>
      <w:lang w:val="es-ES"/>
    </w:rPr>
  </w:style>
  <w:style w:type="character" w:styleId="Nmerodepgina">
    <w:name w:val="page number"/>
    <w:basedOn w:val="Fuentedeprrafopredeter"/>
    <w:rsid w:val="00302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AC1"/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29D5"/>
    <w:pPr>
      <w:keepNext/>
      <w:keepLines/>
      <w:spacing w:before="80" w:after="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13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1138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semiHidden/>
    <w:unhideWhenUsed/>
    <w:rsid w:val="007875D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875D9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angra3detindependiente">
    <w:name w:val="Body Text Indent 3"/>
    <w:basedOn w:val="Normal"/>
    <w:link w:val="Sangra3detindependienteCar"/>
    <w:semiHidden/>
    <w:rsid w:val="007875D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7875D9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Textoindependiente21">
    <w:name w:val="Texto independiente 21"/>
    <w:basedOn w:val="Normal"/>
    <w:rsid w:val="007875D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Arial" w:hAnsi="Arial" w:cs="Arial"/>
      <w:sz w:val="24"/>
      <w:szCs w:val="20"/>
      <w:lang w:val="pt-BR" w:eastAsia="es-ES"/>
    </w:rPr>
  </w:style>
  <w:style w:type="paragraph" w:styleId="Encabezado">
    <w:name w:val="header"/>
    <w:basedOn w:val="Normal"/>
    <w:link w:val="EncabezadoCar"/>
    <w:unhideWhenUsed/>
    <w:rsid w:val="00D83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3B2B"/>
  </w:style>
  <w:style w:type="paragraph" w:styleId="Piedepgina">
    <w:name w:val="footer"/>
    <w:basedOn w:val="Normal"/>
    <w:link w:val="PiedepginaCar"/>
    <w:uiPriority w:val="99"/>
    <w:unhideWhenUsed/>
    <w:rsid w:val="00D83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B2B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34D2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34D2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34D2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34D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4D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4D2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29D5"/>
    <w:rPr>
      <w:rFonts w:asciiTheme="majorHAnsi" w:eastAsiaTheme="majorEastAsia" w:hAnsiTheme="majorHAnsi" w:cstheme="majorBidi"/>
      <w:color w:val="595959" w:themeColor="text1" w:themeTint="A6"/>
      <w:sz w:val="21"/>
      <w:szCs w:val="21"/>
      <w:lang w:val="es-ES"/>
    </w:rPr>
  </w:style>
  <w:style w:type="character" w:styleId="Nmerodepgina">
    <w:name w:val="page number"/>
    <w:basedOn w:val="Fuentedeprrafopredeter"/>
    <w:rsid w:val="0030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AD133-CD84-4257-969B-99DAA78C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2452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Usuario</cp:lastModifiedBy>
  <cp:revision>14</cp:revision>
  <dcterms:created xsi:type="dcterms:W3CDTF">2014-03-26T13:33:00Z</dcterms:created>
  <dcterms:modified xsi:type="dcterms:W3CDTF">2014-08-20T15:37:00Z</dcterms:modified>
</cp:coreProperties>
</file>