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AF075D" w14:textId="77777777" w:rsidR="00DE4181" w:rsidRDefault="00DE4181" w:rsidP="00DE4181">
      <w:pPr>
        <w:spacing w:before="100" w:beforeAutospacing="1" w:after="100" w:afterAutospacing="1" w:line="360" w:lineRule="auto"/>
        <w:jc w:val="center"/>
        <w:rPr>
          <w:rFonts w:ascii="Arial" w:eastAsiaTheme="minorHAnsi" w:hAnsi="Arial" w:cs="Arial"/>
          <w:sz w:val="56"/>
          <w:szCs w:val="56"/>
          <w:lang w:eastAsia="en-US"/>
        </w:rPr>
      </w:pPr>
    </w:p>
    <w:p w14:paraId="6ABA2E69" w14:textId="77777777" w:rsidR="00DE4181" w:rsidRDefault="00DE4181" w:rsidP="00DE4181">
      <w:pPr>
        <w:spacing w:before="100" w:beforeAutospacing="1" w:after="100" w:afterAutospacing="1" w:line="360" w:lineRule="auto"/>
        <w:jc w:val="center"/>
        <w:rPr>
          <w:rFonts w:ascii="Arial" w:eastAsiaTheme="minorHAnsi" w:hAnsi="Arial" w:cs="Arial"/>
          <w:sz w:val="56"/>
          <w:szCs w:val="56"/>
          <w:lang w:eastAsia="en-US"/>
        </w:rPr>
      </w:pPr>
      <w:bookmarkStart w:id="0" w:name="_GoBack"/>
      <w:bookmarkEnd w:id="0"/>
    </w:p>
    <w:p w14:paraId="07E09041" w14:textId="59FF5AE3" w:rsidR="00306695" w:rsidRDefault="00306695" w:rsidP="00DE4181">
      <w:pPr>
        <w:spacing w:before="100" w:beforeAutospacing="1" w:after="100" w:afterAutospacing="1" w:line="360" w:lineRule="auto"/>
        <w:jc w:val="center"/>
        <w:rPr>
          <w:rFonts w:ascii="Arial" w:eastAsiaTheme="minorHAnsi" w:hAnsi="Arial" w:cs="Arial"/>
          <w:sz w:val="56"/>
          <w:szCs w:val="56"/>
          <w:lang w:eastAsia="en-US"/>
        </w:rPr>
      </w:pPr>
      <w:r w:rsidRPr="00DE4181">
        <w:rPr>
          <w:rFonts w:ascii="Arial" w:eastAsiaTheme="minorHAnsi" w:hAnsi="Arial" w:cs="Arial"/>
          <w:sz w:val="56"/>
          <w:szCs w:val="56"/>
          <w:lang w:eastAsia="en-US"/>
        </w:rPr>
        <w:t xml:space="preserve">INSTRUCTIVO PARA EXPORTACION DE CÉLULAS </w:t>
      </w:r>
      <w:r w:rsidR="00BA1284" w:rsidRPr="00DE4181">
        <w:rPr>
          <w:rFonts w:ascii="Arial" w:eastAsiaTheme="minorHAnsi" w:hAnsi="Arial" w:cs="Arial"/>
          <w:sz w:val="56"/>
          <w:szCs w:val="56"/>
          <w:lang w:eastAsia="en-US"/>
        </w:rPr>
        <w:t xml:space="preserve">PROVENIENTES DE SANGRE DE CORDÓN UMBILICAL </w:t>
      </w:r>
      <w:r w:rsidRPr="00DE4181">
        <w:rPr>
          <w:rFonts w:ascii="Arial" w:eastAsiaTheme="minorHAnsi" w:hAnsi="Arial" w:cs="Arial"/>
          <w:sz w:val="56"/>
          <w:szCs w:val="56"/>
          <w:lang w:eastAsia="en-US"/>
        </w:rPr>
        <w:t>CON FINES DE DONACIÓN Y TRASPLANTE Y SUS ANEXOS</w:t>
      </w:r>
    </w:p>
    <w:p w14:paraId="039351C2" w14:textId="77777777" w:rsidR="00DE4181" w:rsidRDefault="00DE4181" w:rsidP="00DE4181">
      <w:pPr>
        <w:spacing w:before="100" w:beforeAutospacing="1" w:after="100" w:afterAutospacing="1" w:line="360" w:lineRule="auto"/>
        <w:jc w:val="center"/>
        <w:rPr>
          <w:rFonts w:ascii="Arial" w:eastAsiaTheme="minorHAnsi" w:hAnsi="Arial" w:cs="Arial"/>
          <w:sz w:val="56"/>
          <w:szCs w:val="56"/>
          <w:lang w:eastAsia="en-US"/>
        </w:rPr>
      </w:pPr>
    </w:p>
    <w:p w14:paraId="45B42A43" w14:textId="77777777" w:rsidR="00DE4181" w:rsidRPr="00DE4181" w:rsidRDefault="00DE4181" w:rsidP="00DE4181">
      <w:pPr>
        <w:spacing w:before="100" w:beforeAutospacing="1" w:after="100" w:afterAutospacing="1" w:line="360" w:lineRule="auto"/>
        <w:jc w:val="center"/>
        <w:rPr>
          <w:rFonts w:ascii="Arial" w:eastAsiaTheme="minorHAnsi" w:hAnsi="Arial" w:cs="Arial"/>
          <w:sz w:val="56"/>
          <w:szCs w:val="56"/>
          <w:lang w:eastAsia="en-US"/>
        </w:rPr>
      </w:pPr>
    </w:p>
    <w:p w14:paraId="4D0ABADF" w14:textId="77777777" w:rsidR="00306695" w:rsidRDefault="00306695" w:rsidP="00306695">
      <w:pPr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1. INTRODUCCION</w:t>
      </w:r>
    </w:p>
    <w:p w14:paraId="2FAFCBC3" w14:textId="77777777" w:rsidR="00306695" w:rsidRDefault="00306695" w:rsidP="00306695">
      <w:pPr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 Instituto Nacional de Donación y Trasplante de Órganos, Tejidos y Células INDOT, como entidad adscrita a la Autoridad Sanitaria Nacional, tiene la responsabilidad de cumplir y hacer cumplir el marco legal establecido en la Constitución de la República, Ley Orgánica de Salud, Ley Orgánica de Donación y Trasplante de Órganos, Tejidos y Células, y su Reglamento General; y demás normativa legal vigente en el ámbito trasplantológico; es responsable de normar, regular, vigilar, controlar y evaluar el Sistema Nacional Integrado de Donación y Trasplante.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En el numeral 20 del artículo 3 del Reglamento General a la Ley Orgánica de Donación y Trasplante de Órganos, Tejidos y Células, determina que el INDOT tiene la facultad de: "Autorizar la importación y exportación de órganos, tejidos y/o células, destinados a procedimientos de donación y trasplante, una vez cumplidos los requisitos establecidos para el efecto".</w:t>
      </w:r>
    </w:p>
    <w:p w14:paraId="0628CE03" w14:textId="77777777" w:rsidR="00306695" w:rsidRDefault="00306695" w:rsidP="00306695">
      <w:pPr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MARCO LEGAL </w:t>
      </w:r>
    </w:p>
    <w:p w14:paraId="6673F838" w14:textId="77777777" w:rsidR="00306695" w:rsidRPr="00306695" w:rsidRDefault="00306695" w:rsidP="00306695">
      <w:pPr>
        <w:pStyle w:val="Prrafodelista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 w:rsidRPr="00306695">
        <w:rPr>
          <w:rFonts w:ascii="Arial" w:hAnsi="Arial" w:cs="Arial"/>
        </w:rPr>
        <w:t xml:space="preserve">Ley Orgánica de Donación y Trasplante de Órganos, Tejidos y Células (artículos: 1, 3, </w:t>
      </w:r>
      <w:r w:rsidR="009C0F81">
        <w:rPr>
          <w:rFonts w:ascii="Arial" w:hAnsi="Arial" w:cs="Arial"/>
        </w:rPr>
        <w:t xml:space="preserve">6, </w:t>
      </w:r>
      <w:r w:rsidRPr="00306695">
        <w:rPr>
          <w:rFonts w:ascii="Arial" w:hAnsi="Arial" w:cs="Arial"/>
        </w:rPr>
        <w:t xml:space="preserve">7, 53, 56) </w:t>
      </w:r>
    </w:p>
    <w:p w14:paraId="0A065FDA" w14:textId="77777777" w:rsidR="00306695" w:rsidRPr="00306695" w:rsidRDefault="00306695" w:rsidP="00306695">
      <w:pPr>
        <w:pStyle w:val="Prrafodelista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 w:rsidRPr="00306695">
        <w:rPr>
          <w:rFonts w:ascii="Arial" w:hAnsi="Arial" w:cs="Arial"/>
        </w:rPr>
        <w:t>Reglamento a la Ley Orgánica de Donación y Trasplantes de Órganos, Tejidos y Células (artículo 3 numerales 20 -</w:t>
      </w:r>
      <w:r w:rsidR="00BB4EF7">
        <w:rPr>
          <w:rFonts w:ascii="Arial" w:hAnsi="Arial" w:cs="Arial"/>
        </w:rPr>
        <w:t xml:space="preserve"> </w:t>
      </w:r>
      <w:r w:rsidRPr="00306695">
        <w:rPr>
          <w:rFonts w:ascii="Arial" w:hAnsi="Arial" w:cs="Arial"/>
        </w:rPr>
        <w:t>22).</w:t>
      </w:r>
    </w:p>
    <w:p w14:paraId="3197EA10" w14:textId="77777777" w:rsidR="00306695" w:rsidRDefault="00306695" w:rsidP="00306695">
      <w:pPr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 OBJETIVO GENERAL</w:t>
      </w:r>
    </w:p>
    <w:p w14:paraId="344E924A" w14:textId="77777777" w:rsidR="00BA1284" w:rsidRDefault="00306695" w:rsidP="00306695">
      <w:pPr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 w:rsidRPr="00E67FBC">
        <w:rPr>
          <w:rFonts w:ascii="Arial" w:hAnsi="Arial" w:cs="Arial"/>
        </w:rPr>
        <w:t xml:space="preserve">Regular el proceso de exportación de células </w:t>
      </w:r>
      <w:r w:rsidR="00CD0840">
        <w:rPr>
          <w:rFonts w:ascii="Arial" w:hAnsi="Arial" w:cs="Arial"/>
        </w:rPr>
        <w:t xml:space="preserve">provenientes de sangre de cordón umbilical </w:t>
      </w:r>
      <w:r w:rsidRPr="00E67FBC">
        <w:rPr>
          <w:rFonts w:ascii="Arial" w:hAnsi="Arial" w:cs="Arial"/>
        </w:rPr>
        <w:t>con fines de donación y trasplante</w:t>
      </w:r>
      <w:r w:rsidR="00E67FBC" w:rsidRPr="00E67FBC">
        <w:rPr>
          <w:rFonts w:ascii="Arial" w:hAnsi="Arial" w:cs="Arial"/>
        </w:rPr>
        <w:t>.</w:t>
      </w:r>
    </w:p>
    <w:p w14:paraId="2BFB46AC" w14:textId="454EFE8B" w:rsidR="00306695" w:rsidRDefault="00306695" w:rsidP="00306695">
      <w:pPr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 w:rsidRPr="00306695">
        <w:rPr>
          <w:rFonts w:ascii="Arial" w:hAnsi="Arial" w:cs="Arial"/>
        </w:rPr>
        <w:br/>
      </w:r>
      <w:r>
        <w:rPr>
          <w:rFonts w:ascii="Arial" w:hAnsi="Arial" w:cs="Arial"/>
        </w:rPr>
        <w:br/>
        <w:t>4. ALCANCE</w:t>
      </w:r>
    </w:p>
    <w:p w14:paraId="61D30CAC" w14:textId="703405A7" w:rsidR="00306695" w:rsidRPr="00306695" w:rsidRDefault="00306695" w:rsidP="00306695">
      <w:pPr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 w:rsidRPr="00306695">
        <w:rPr>
          <w:rFonts w:ascii="Arial" w:hAnsi="Arial" w:cs="Arial"/>
        </w:rPr>
        <w:lastRenderedPageBreak/>
        <w:t>El presente instructivo es de aplicación obligatoria para todas las personas naturales o jurídicas que soliciten la autorización de exportación de células</w:t>
      </w:r>
      <w:r w:rsidR="00CD0840">
        <w:rPr>
          <w:rFonts w:ascii="Arial" w:hAnsi="Arial" w:cs="Arial"/>
        </w:rPr>
        <w:t xml:space="preserve"> provenientes de sangre de cordón umbilical</w:t>
      </w:r>
      <w:r w:rsidRPr="00306695">
        <w:rPr>
          <w:rFonts w:ascii="Arial" w:hAnsi="Arial" w:cs="Arial"/>
        </w:rPr>
        <w:t>,</w:t>
      </w:r>
    </w:p>
    <w:p w14:paraId="789A1AAB" w14:textId="77777777" w:rsidR="00306695" w:rsidRDefault="00306695" w:rsidP="00306695">
      <w:pPr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5. ABREVIATURAS</w:t>
      </w:r>
    </w:p>
    <w:p w14:paraId="4AFDF972" w14:textId="77777777" w:rsidR="00306695" w:rsidRDefault="00306695" w:rsidP="00306695">
      <w:pPr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INDOT: Instituto Nacional de Donación y Trasplante de Órganos, Tejidos y Células</w:t>
      </w:r>
    </w:p>
    <w:p w14:paraId="0C5776D7" w14:textId="77777777" w:rsidR="00306695" w:rsidRDefault="00306695" w:rsidP="00306695">
      <w:pPr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BANTEC: Banco Nacional de Tejidos y Células</w:t>
      </w:r>
    </w:p>
    <w:p w14:paraId="0973F247" w14:textId="671AA367" w:rsidR="00306695" w:rsidRPr="00647D0B" w:rsidRDefault="00306695" w:rsidP="00306695">
      <w:pPr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 w:rsidRPr="00647D0B">
        <w:rPr>
          <w:rFonts w:ascii="Arial" w:hAnsi="Arial" w:cs="Arial"/>
        </w:rPr>
        <w:t xml:space="preserve">6. LINEAMIENTOS GENERALES PARA LA EXPORTACION DE CÉLULAS </w:t>
      </w:r>
      <w:r w:rsidR="00CD0840" w:rsidRPr="00647D0B">
        <w:rPr>
          <w:rFonts w:ascii="Arial" w:hAnsi="Arial" w:cs="Arial"/>
        </w:rPr>
        <w:t xml:space="preserve">PROVENIENTES DE SANGRE DE CORDÓN UMBILICAL </w:t>
      </w:r>
    </w:p>
    <w:p w14:paraId="402251FA" w14:textId="7E463A7E" w:rsidR="00306695" w:rsidRPr="00647D0B" w:rsidRDefault="00306695" w:rsidP="00306695">
      <w:pPr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 w:rsidRPr="00647D0B">
        <w:rPr>
          <w:rFonts w:ascii="Arial" w:hAnsi="Arial" w:cs="Arial"/>
        </w:rPr>
        <w:t>6.</w:t>
      </w:r>
      <w:r w:rsidR="00647D0B" w:rsidRPr="00647D0B">
        <w:rPr>
          <w:rFonts w:ascii="Arial" w:hAnsi="Arial" w:cs="Arial"/>
        </w:rPr>
        <w:t>1</w:t>
      </w:r>
      <w:r w:rsidRPr="00647D0B">
        <w:rPr>
          <w:rFonts w:ascii="Arial" w:hAnsi="Arial" w:cs="Arial"/>
        </w:rPr>
        <w:t xml:space="preserve">. Para la exportación de células </w:t>
      </w:r>
      <w:r w:rsidR="00CD0840" w:rsidRPr="00647D0B">
        <w:rPr>
          <w:rFonts w:ascii="Arial" w:hAnsi="Arial" w:cs="Arial"/>
        </w:rPr>
        <w:t>provenientes de sangre de cordón umbilical</w:t>
      </w:r>
      <w:r w:rsidRPr="00647D0B">
        <w:rPr>
          <w:rFonts w:ascii="Arial" w:hAnsi="Arial" w:cs="Arial"/>
        </w:rPr>
        <w:t>,  deberán cumplir con los requisitos establecidos por el INDOT, así como los establecidos por del Servicio Nacional de Aduanas.</w:t>
      </w:r>
    </w:p>
    <w:p w14:paraId="7FAFC8E5" w14:textId="5F74CC24" w:rsidR="00306695" w:rsidRDefault="00647D0B" w:rsidP="00306695">
      <w:pPr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 w:rsidRPr="00647D0B">
        <w:rPr>
          <w:rFonts w:ascii="Arial" w:hAnsi="Arial" w:cs="Arial"/>
        </w:rPr>
        <w:t>6.2</w:t>
      </w:r>
      <w:r w:rsidR="00306695" w:rsidRPr="00647D0B">
        <w:rPr>
          <w:rFonts w:ascii="Arial" w:hAnsi="Arial" w:cs="Arial"/>
        </w:rPr>
        <w:t>.</w:t>
      </w:r>
      <w:r w:rsidR="00306695">
        <w:rPr>
          <w:rFonts w:ascii="Arial" w:hAnsi="Arial" w:cs="Arial"/>
        </w:rPr>
        <w:t xml:space="preserve"> El INDOT autorizará la exportación de células </w:t>
      </w:r>
      <w:r w:rsidR="00BE1FB4">
        <w:rPr>
          <w:rFonts w:ascii="Arial" w:hAnsi="Arial" w:cs="Arial"/>
        </w:rPr>
        <w:t>provenientes de sangre de cordón umbilical</w:t>
      </w:r>
      <w:r w:rsidR="00BE1FB4" w:rsidRPr="00306695">
        <w:rPr>
          <w:rFonts w:ascii="Arial" w:hAnsi="Arial" w:cs="Arial"/>
        </w:rPr>
        <w:t xml:space="preserve">,  </w:t>
      </w:r>
      <w:r w:rsidR="00306695">
        <w:rPr>
          <w:rFonts w:ascii="Arial" w:hAnsi="Arial" w:cs="Arial"/>
        </w:rPr>
        <w:t xml:space="preserve">previo informe </w:t>
      </w:r>
      <w:r w:rsidR="00756514">
        <w:rPr>
          <w:rFonts w:ascii="Arial" w:hAnsi="Arial" w:cs="Arial"/>
        </w:rPr>
        <w:t xml:space="preserve">técnico </w:t>
      </w:r>
      <w:r w:rsidR="00306695">
        <w:rPr>
          <w:rFonts w:ascii="Arial" w:hAnsi="Arial" w:cs="Arial"/>
        </w:rPr>
        <w:t>favorable de la Coordinación Zonal INDOT respectiva</w:t>
      </w:r>
      <w:r w:rsidR="00BE1FB4">
        <w:rPr>
          <w:rFonts w:ascii="Arial" w:hAnsi="Arial" w:cs="Arial"/>
        </w:rPr>
        <w:t>.</w:t>
      </w:r>
      <w:r w:rsidR="00BA1284">
        <w:rPr>
          <w:rFonts w:ascii="Arial" w:hAnsi="Arial" w:cs="Arial"/>
        </w:rPr>
        <w:t xml:space="preserve"> </w:t>
      </w:r>
      <w:r w:rsidR="00BE1FB4">
        <w:rPr>
          <w:rFonts w:ascii="Arial" w:hAnsi="Arial" w:cs="Arial"/>
        </w:rPr>
        <w:t>P</w:t>
      </w:r>
      <w:r w:rsidR="00756514">
        <w:rPr>
          <w:rFonts w:ascii="Arial" w:hAnsi="Arial" w:cs="Arial"/>
        </w:rPr>
        <w:t xml:space="preserve">ara tal efecto </w:t>
      </w:r>
      <w:r w:rsidR="009C0F81">
        <w:rPr>
          <w:rFonts w:ascii="Arial" w:hAnsi="Arial" w:cs="Arial"/>
        </w:rPr>
        <w:t xml:space="preserve">la solicitud de autorización </w:t>
      </w:r>
      <w:r w:rsidR="00756514">
        <w:rPr>
          <w:rFonts w:ascii="Arial" w:hAnsi="Arial" w:cs="Arial"/>
        </w:rPr>
        <w:t xml:space="preserve">deberá cumplir </w:t>
      </w:r>
      <w:r w:rsidR="00306695">
        <w:rPr>
          <w:rFonts w:ascii="Arial" w:hAnsi="Arial" w:cs="Arial"/>
        </w:rPr>
        <w:t>los siguientes criterios:</w:t>
      </w:r>
    </w:p>
    <w:p w14:paraId="15BAFAAC" w14:textId="0E68D2C4" w:rsidR="00306695" w:rsidRPr="005710AB" w:rsidRDefault="00306695" w:rsidP="005710AB">
      <w:pPr>
        <w:pStyle w:val="Prrafodelista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 w:rsidRPr="005710AB">
        <w:rPr>
          <w:rFonts w:ascii="Arial" w:hAnsi="Arial" w:cs="Arial"/>
        </w:rPr>
        <w:t>Que la finalidad de</w:t>
      </w:r>
      <w:r w:rsidR="00BE1FB4">
        <w:rPr>
          <w:rFonts w:ascii="Arial" w:hAnsi="Arial" w:cs="Arial"/>
        </w:rPr>
        <w:t xml:space="preserve"> la exportación de</w:t>
      </w:r>
      <w:r w:rsidRPr="005710AB">
        <w:rPr>
          <w:rFonts w:ascii="Arial" w:hAnsi="Arial" w:cs="Arial"/>
        </w:rPr>
        <w:t xml:space="preserve"> células </w:t>
      </w:r>
      <w:r w:rsidR="00BE1FB4">
        <w:rPr>
          <w:rFonts w:ascii="Arial" w:hAnsi="Arial" w:cs="Arial"/>
        </w:rPr>
        <w:t>provenientes de sangre de cordón umbilical</w:t>
      </w:r>
      <w:r w:rsidR="00BE1FB4" w:rsidRPr="00306695">
        <w:rPr>
          <w:rFonts w:ascii="Arial" w:hAnsi="Arial" w:cs="Arial"/>
        </w:rPr>
        <w:t xml:space="preserve">,  </w:t>
      </w:r>
      <w:r w:rsidRPr="005710AB">
        <w:rPr>
          <w:rFonts w:ascii="Arial" w:hAnsi="Arial" w:cs="Arial"/>
        </w:rPr>
        <w:t xml:space="preserve">sea </w:t>
      </w:r>
      <w:r w:rsidR="009C0F81">
        <w:rPr>
          <w:rFonts w:ascii="Arial" w:hAnsi="Arial" w:cs="Arial"/>
        </w:rPr>
        <w:t>para uso en</w:t>
      </w:r>
      <w:r w:rsidRPr="005710AB">
        <w:rPr>
          <w:rFonts w:ascii="Arial" w:hAnsi="Arial" w:cs="Arial"/>
        </w:rPr>
        <w:t xml:space="preserve"> trasplante en seres humanos.</w:t>
      </w:r>
    </w:p>
    <w:p w14:paraId="412F472A" w14:textId="1AB16288" w:rsidR="00306695" w:rsidRPr="005710AB" w:rsidRDefault="00306695" w:rsidP="005710AB">
      <w:pPr>
        <w:pStyle w:val="Prrafodelista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 w:rsidRPr="005710AB">
        <w:rPr>
          <w:rFonts w:ascii="Arial" w:hAnsi="Arial" w:cs="Arial"/>
        </w:rPr>
        <w:t>Que existe un probado beneficio en la utilización de células</w:t>
      </w:r>
      <w:r w:rsidR="00BE1FB4">
        <w:rPr>
          <w:rFonts w:ascii="Arial" w:hAnsi="Arial" w:cs="Arial"/>
        </w:rPr>
        <w:t xml:space="preserve"> provenientes de sangre de cordón umbilical</w:t>
      </w:r>
      <w:r w:rsidR="00BE1FB4" w:rsidRPr="00306695">
        <w:rPr>
          <w:rFonts w:ascii="Arial" w:hAnsi="Arial" w:cs="Arial"/>
        </w:rPr>
        <w:t xml:space="preserve">,  </w:t>
      </w:r>
      <w:r w:rsidRPr="005710AB">
        <w:rPr>
          <w:rFonts w:ascii="Arial" w:hAnsi="Arial" w:cs="Arial"/>
        </w:rPr>
        <w:t>que se pretenden utilizar.</w:t>
      </w:r>
    </w:p>
    <w:p w14:paraId="03C16331" w14:textId="0291F738" w:rsidR="000E53ED" w:rsidRPr="000E53ED" w:rsidRDefault="00306695" w:rsidP="00BA1284">
      <w:pPr>
        <w:pStyle w:val="Prrafodelista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lang w:val="es-ES"/>
        </w:rPr>
      </w:pPr>
      <w:r w:rsidRPr="005710AB">
        <w:rPr>
          <w:rFonts w:ascii="Arial" w:hAnsi="Arial" w:cs="Arial"/>
        </w:rPr>
        <w:t>Que existe una indicación médica que justifique la exportación</w:t>
      </w:r>
      <w:r w:rsidR="00BE1FB4">
        <w:rPr>
          <w:rFonts w:ascii="Arial" w:hAnsi="Arial" w:cs="Arial"/>
        </w:rPr>
        <w:t xml:space="preserve"> </w:t>
      </w:r>
      <w:r w:rsidR="00BE1FB4" w:rsidRPr="005710AB">
        <w:rPr>
          <w:rFonts w:ascii="Arial" w:hAnsi="Arial" w:cs="Arial"/>
        </w:rPr>
        <w:t>de células</w:t>
      </w:r>
      <w:r w:rsidR="00BE1FB4">
        <w:rPr>
          <w:rFonts w:ascii="Arial" w:hAnsi="Arial" w:cs="Arial"/>
        </w:rPr>
        <w:t xml:space="preserve"> provenientes de sangre de cordón umbilical</w:t>
      </w:r>
      <w:r w:rsidRPr="005710AB">
        <w:rPr>
          <w:rFonts w:ascii="Arial" w:hAnsi="Arial" w:cs="Arial"/>
        </w:rPr>
        <w:t>, para el paciente determinado.</w:t>
      </w:r>
    </w:p>
    <w:p w14:paraId="2644DECE" w14:textId="30FE7CB2" w:rsidR="000E53ED" w:rsidRDefault="000E53ED" w:rsidP="000E53ED">
      <w:pPr>
        <w:pStyle w:val="Prrafodelista"/>
        <w:jc w:val="both"/>
        <w:rPr>
          <w:rFonts w:ascii="Arial" w:hAnsi="Arial" w:cs="Arial"/>
          <w:lang w:val="es-ES"/>
        </w:rPr>
      </w:pPr>
    </w:p>
    <w:p w14:paraId="71B7E3F8" w14:textId="77777777" w:rsidR="00306695" w:rsidRDefault="00306695" w:rsidP="0030669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36B183AA" w14:textId="7022CA45" w:rsidR="00306695" w:rsidRDefault="00AC45D4" w:rsidP="0030669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647D0B">
        <w:rPr>
          <w:rFonts w:ascii="Arial" w:hAnsi="Arial" w:cs="Arial"/>
        </w:rPr>
        <w:t>7</w:t>
      </w:r>
      <w:r w:rsidR="00BB4EF7" w:rsidRPr="00647D0B">
        <w:rPr>
          <w:rFonts w:ascii="Arial" w:hAnsi="Arial" w:cs="Arial"/>
        </w:rPr>
        <w:t>.</w:t>
      </w:r>
      <w:r w:rsidR="005710AB">
        <w:rPr>
          <w:rFonts w:ascii="Arial" w:hAnsi="Arial" w:cs="Arial"/>
        </w:rPr>
        <w:t xml:space="preserve"> REQUISITOS</w:t>
      </w:r>
      <w:r w:rsidR="00306695">
        <w:rPr>
          <w:rFonts w:ascii="Arial" w:hAnsi="Arial" w:cs="Arial"/>
        </w:rPr>
        <w:t xml:space="preserve"> PARA LA EXPORTACIÓN DE SANGRE DE CORDÓN UMBILICAL</w:t>
      </w:r>
    </w:p>
    <w:p w14:paraId="5314D577" w14:textId="085D2F26" w:rsidR="00306695" w:rsidRDefault="00647D0B" w:rsidP="00306695">
      <w:pPr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 w:rsidRPr="00647D0B">
        <w:rPr>
          <w:rFonts w:ascii="Arial" w:hAnsi="Arial" w:cs="Arial"/>
        </w:rPr>
        <w:t>7</w:t>
      </w:r>
      <w:r w:rsidR="00306695" w:rsidRPr="00647D0B">
        <w:rPr>
          <w:rFonts w:ascii="Arial" w:hAnsi="Arial" w:cs="Arial"/>
        </w:rPr>
        <w:t>.</w:t>
      </w:r>
      <w:r w:rsidR="005710AB" w:rsidRPr="00647D0B">
        <w:rPr>
          <w:rFonts w:ascii="Arial" w:hAnsi="Arial" w:cs="Arial"/>
        </w:rPr>
        <w:t>1</w:t>
      </w:r>
      <w:r w:rsidR="00306695" w:rsidRPr="00647D0B">
        <w:rPr>
          <w:rFonts w:ascii="Arial" w:hAnsi="Arial" w:cs="Arial"/>
        </w:rPr>
        <w:t>.</w:t>
      </w:r>
      <w:r w:rsidR="00306695">
        <w:rPr>
          <w:rFonts w:ascii="Arial" w:hAnsi="Arial" w:cs="Arial"/>
        </w:rPr>
        <w:t xml:space="preserve"> </w:t>
      </w:r>
      <w:r w:rsidR="005710AB">
        <w:rPr>
          <w:rFonts w:ascii="Arial" w:hAnsi="Arial" w:cs="Arial"/>
        </w:rPr>
        <w:t>La persona inter</w:t>
      </w:r>
      <w:r w:rsidR="00BB4EF7">
        <w:rPr>
          <w:rFonts w:ascii="Arial" w:hAnsi="Arial" w:cs="Arial"/>
        </w:rPr>
        <w:t>esada</w:t>
      </w:r>
      <w:r w:rsidR="005710AB">
        <w:rPr>
          <w:rFonts w:ascii="Arial" w:hAnsi="Arial" w:cs="Arial"/>
        </w:rPr>
        <w:t xml:space="preserve"> para solicitar </w:t>
      </w:r>
      <w:r w:rsidR="00306695">
        <w:rPr>
          <w:rFonts w:ascii="Arial" w:hAnsi="Arial" w:cs="Arial"/>
        </w:rPr>
        <w:t>la exportación de Sangre de Cordón Umbilical</w:t>
      </w:r>
      <w:r w:rsidR="005710AB">
        <w:rPr>
          <w:rFonts w:ascii="Arial" w:hAnsi="Arial" w:cs="Arial"/>
        </w:rPr>
        <w:t xml:space="preserve"> deberá presentar</w:t>
      </w:r>
      <w:r w:rsidR="00BB4EF7">
        <w:rPr>
          <w:rFonts w:ascii="Arial" w:hAnsi="Arial" w:cs="Arial"/>
        </w:rPr>
        <w:t xml:space="preserve"> a la Coordinación Zonal INDOT</w:t>
      </w:r>
      <w:r w:rsidR="005710AB">
        <w:rPr>
          <w:rFonts w:ascii="Arial" w:hAnsi="Arial" w:cs="Arial"/>
        </w:rPr>
        <w:t xml:space="preserve"> lo</w:t>
      </w:r>
      <w:r w:rsidR="00BE1FB4">
        <w:rPr>
          <w:rFonts w:ascii="Arial" w:hAnsi="Arial" w:cs="Arial"/>
        </w:rPr>
        <w:t>s</w:t>
      </w:r>
      <w:r w:rsidR="005710AB">
        <w:rPr>
          <w:rFonts w:ascii="Arial" w:hAnsi="Arial" w:cs="Arial"/>
        </w:rPr>
        <w:t xml:space="preserve"> siguiente</w:t>
      </w:r>
      <w:r w:rsidR="00BE1FB4">
        <w:rPr>
          <w:rFonts w:ascii="Arial" w:hAnsi="Arial" w:cs="Arial"/>
        </w:rPr>
        <w:t>s documentos</w:t>
      </w:r>
      <w:r w:rsidR="005710AB">
        <w:rPr>
          <w:rFonts w:ascii="Arial" w:hAnsi="Arial" w:cs="Arial"/>
        </w:rPr>
        <w:t>:</w:t>
      </w:r>
    </w:p>
    <w:p w14:paraId="614E25B9" w14:textId="77777777" w:rsidR="00306695" w:rsidRPr="00323273" w:rsidRDefault="00306695" w:rsidP="00306695">
      <w:pPr>
        <w:pStyle w:val="Prrafodelista"/>
        <w:numPr>
          <w:ilvl w:val="0"/>
          <w:numId w:val="3"/>
        </w:numPr>
        <w:spacing w:before="100" w:beforeAutospacing="1" w:after="100" w:afterAutospacing="1"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"Solicitud de Autorización de Exportación de Sangre de Cordón Umbilical", </w:t>
      </w:r>
      <w:r w:rsidRPr="00323273">
        <w:rPr>
          <w:rFonts w:ascii="Arial" w:hAnsi="Arial" w:cs="Arial"/>
        </w:rPr>
        <w:t>mediante el formulario RG-INDOT-178 (ANEXO 1).</w:t>
      </w:r>
    </w:p>
    <w:p w14:paraId="0E0A0ED7" w14:textId="1BD37CE8" w:rsidR="00306695" w:rsidRPr="00323273" w:rsidRDefault="001A3D6C" w:rsidP="00306695">
      <w:pPr>
        <w:pStyle w:val="Prrafodelista"/>
        <w:numPr>
          <w:ilvl w:val="0"/>
          <w:numId w:val="3"/>
        </w:numPr>
        <w:spacing w:before="100" w:beforeAutospacing="1" w:after="100" w:afterAutospacing="1"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306695" w:rsidRPr="00323273">
        <w:rPr>
          <w:rFonts w:ascii="Arial" w:hAnsi="Arial" w:cs="Arial"/>
        </w:rPr>
        <w:t xml:space="preserve">eclaración juramentada por parte del propietario de la muestra (o de su representante legal) </w:t>
      </w:r>
      <w:r w:rsidR="00BE1FB4">
        <w:rPr>
          <w:rFonts w:ascii="Arial" w:hAnsi="Arial" w:cs="Arial"/>
        </w:rPr>
        <w:t>en el que señale, entre otros temas,</w:t>
      </w:r>
      <w:r w:rsidR="00306695" w:rsidRPr="00323273">
        <w:rPr>
          <w:rFonts w:ascii="Arial" w:hAnsi="Arial" w:cs="Arial"/>
        </w:rPr>
        <w:t xml:space="preserve"> que dicha muestra de sangre de cordón umbilical solo va a ser utilizada para fines de donación y </w:t>
      </w:r>
      <w:r w:rsidR="00306695" w:rsidRPr="00323273">
        <w:rPr>
          <w:rFonts w:ascii="Arial" w:hAnsi="Arial" w:cs="Arial"/>
        </w:rPr>
        <w:lastRenderedPageBreak/>
        <w:t xml:space="preserve">trasplante </w:t>
      </w:r>
      <w:r w:rsidR="002C23F4">
        <w:rPr>
          <w:rFonts w:ascii="Arial" w:hAnsi="Arial" w:cs="Arial"/>
        </w:rPr>
        <w:t>para</w:t>
      </w:r>
      <w:r>
        <w:rPr>
          <w:rFonts w:ascii="Arial" w:hAnsi="Arial" w:cs="Arial"/>
        </w:rPr>
        <w:t xml:space="preserve"> sí mismo (autólogo) o</w:t>
      </w:r>
      <w:r w:rsidR="002C23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</w:t>
      </w:r>
      <w:r w:rsidRPr="00647D0B">
        <w:rPr>
          <w:rFonts w:ascii="Arial" w:hAnsi="Arial" w:cs="Arial"/>
        </w:rPr>
        <w:t xml:space="preserve">una tercera persona </w:t>
      </w:r>
      <w:r>
        <w:rPr>
          <w:rFonts w:ascii="Arial" w:hAnsi="Arial" w:cs="Arial"/>
        </w:rPr>
        <w:t>(alogénico emparentado hasta cuarto grado de consanguinidad). Además que se compromete a</w:t>
      </w:r>
      <w:r w:rsidR="00BE1FB4">
        <w:rPr>
          <w:rFonts w:ascii="Arial" w:hAnsi="Arial" w:cs="Arial"/>
        </w:rPr>
        <w:t xml:space="preserve"> entregar al INDOT </w:t>
      </w:r>
      <w:r w:rsidR="00BB4EF7" w:rsidRPr="00323273">
        <w:rPr>
          <w:rFonts w:ascii="Arial" w:hAnsi="Arial" w:cs="Arial"/>
        </w:rPr>
        <w:t>el resultado de</w:t>
      </w:r>
      <w:r w:rsidR="00BE1FB4">
        <w:rPr>
          <w:rFonts w:ascii="Arial" w:hAnsi="Arial" w:cs="Arial"/>
        </w:rPr>
        <w:t xml:space="preserve"> </w:t>
      </w:r>
      <w:r w:rsidR="00BB4EF7" w:rsidRPr="00323273">
        <w:rPr>
          <w:rFonts w:ascii="Arial" w:hAnsi="Arial" w:cs="Arial"/>
        </w:rPr>
        <w:t>l</w:t>
      </w:r>
      <w:r w:rsidR="00BE1FB4">
        <w:rPr>
          <w:rFonts w:ascii="Arial" w:hAnsi="Arial" w:cs="Arial"/>
        </w:rPr>
        <w:t>a</w:t>
      </w:r>
      <w:r w:rsidR="00BB4EF7" w:rsidRPr="00323273">
        <w:rPr>
          <w:rFonts w:ascii="Arial" w:hAnsi="Arial" w:cs="Arial"/>
        </w:rPr>
        <w:t xml:space="preserve"> </w:t>
      </w:r>
      <w:r w:rsidR="00BE1FB4">
        <w:rPr>
          <w:rFonts w:ascii="Arial" w:hAnsi="Arial" w:cs="Arial"/>
        </w:rPr>
        <w:t>intervención realizada</w:t>
      </w:r>
      <w:r w:rsidR="00BE1FB4" w:rsidRPr="00323273">
        <w:rPr>
          <w:rFonts w:ascii="Arial" w:hAnsi="Arial" w:cs="Arial"/>
        </w:rPr>
        <w:t xml:space="preserve"> </w:t>
      </w:r>
      <w:r w:rsidR="00BB4EF7" w:rsidRPr="00323273">
        <w:rPr>
          <w:rFonts w:ascii="Arial" w:hAnsi="Arial" w:cs="Arial"/>
        </w:rPr>
        <w:t>a los 6 (seis) meses de emitida la autorización</w:t>
      </w:r>
      <w:r w:rsidR="00306695" w:rsidRPr="00323273">
        <w:rPr>
          <w:rFonts w:ascii="Arial" w:hAnsi="Arial" w:cs="Arial"/>
        </w:rPr>
        <w:t>.</w:t>
      </w:r>
    </w:p>
    <w:p w14:paraId="32E7FF69" w14:textId="0204104F" w:rsidR="00306695" w:rsidRDefault="00BB4EF7" w:rsidP="00306695">
      <w:pPr>
        <w:pStyle w:val="Prrafodelista"/>
        <w:numPr>
          <w:ilvl w:val="0"/>
          <w:numId w:val="3"/>
        </w:numPr>
        <w:spacing w:before="100" w:beforeAutospacing="1" w:after="100" w:afterAutospacing="1"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Una c</w:t>
      </w:r>
      <w:r w:rsidR="00306695">
        <w:rPr>
          <w:rFonts w:ascii="Arial" w:hAnsi="Arial" w:cs="Arial"/>
        </w:rPr>
        <w:t xml:space="preserve">opia del contrato de almacenamiento suscrito entre los propietarios de la muestra </w:t>
      </w:r>
      <w:r w:rsidR="0078707A">
        <w:rPr>
          <w:rFonts w:ascii="Arial" w:hAnsi="Arial" w:cs="Arial"/>
        </w:rPr>
        <w:t xml:space="preserve">de sangre de cordón umbilical </w:t>
      </w:r>
      <w:r w:rsidR="00306695">
        <w:rPr>
          <w:rFonts w:ascii="Arial" w:hAnsi="Arial" w:cs="Arial"/>
        </w:rPr>
        <w:t>y el Banco de Sangre de Cordón Umbilical acreditado.</w:t>
      </w:r>
    </w:p>
    <w:p w14:paraId="5CBDFB17" w14:textId="77777777" w:rsidR="0078707A" w:rsidRPr="00647D0B" w:rsidRDefault="0078707A" w:rsidP="0078707A">
      <w:pPr>
        <w:pStyle w:val="Prrafodelista"/>
        <w:numPr>
          <w:ilvl w:val="0"/>
          <w:numId w:val="3"/>
        </w:numPr>
        <w:spacing w:before="100" w:beforeAutospacing="1" w:after="100" w:afterAutospacing="1" w:line="276" w:lineRule="auto"/>
        <w:ind w:left="567"/>
        <w:jc w:val="both"/>
        <w:rPr>
          <w:rFonts w:ascii="Arial" w:hAnsi="Arial" w:cs="Arial"/>
          <w:color w:val="A6A6A6" w:themeColor="background1" w:themeShade="A6"/>
        </w:rPr>
      </w:pPr>
      <w:r>
        <w:rPr>
          <w:rFonts w:ascii="Arial" w:hAnsi="Arial" w:cs="Arial"/>
        </w:rPr>
        <w:t>Una copia del contrato de transporte, en caso que la muestra sea transportada a través de terceros.</w:t>
      </w:r>
    </w:p>
    <w:p w14:paraId="19A7AE74" w14:textId="3280CDB4" w:rsidR="00FA7F66" w:rsidRPr="005710AB" w:rsidRDefault="00FA7F66" w:rsidP="0078707A">
      <w:pPr>
        <w:pStyle w:val="Prrafodelista"/>
        <w:numPr>
          <w:ilvl w:val="0"/>
          <w:numId w:val="3"/>
        </w:numPr>
        <w:spacing w:before="100" w:beforeAutospacing="1" w:after="100" w:afterAutospacing="1" w:line="276" w:lineRule="auto"/>
        <w:ind w:left="567"/>
        <w:jc w:val="both"/>
        <w:rPr>
          <w:rFonts w:ascii="Arial" w:hAnsi="Arial" w:cs="Arial"/>
          <w:color w:val="A6A6A6" w:themeColor="background1" w:themeShade="A6"/>
        </w:rPr>
      </w:pPr>
      <w:r w:rsidRPr="00B54EF1">
        <w:rPr>
          <w:rFonts w:ascii="Arial" w:hAnsi="Arial" w:cs="Arial"/>
          <w:lang w:val="es-ES"/>
        </w:rPr>
        <w:t>Guía de cumplimiento de procedimientos de embalaje y mantenimiento de las condiciones físicas para transporte de muestras biológicas humanas, tejidos y células</w:t>
      </w:r>
      <w:r>
        <w:rPr>
          <w:rFonts w:ascii="Arial" w:hAnsi="Arial" w:cs="Arial"/>
          <w:lang w:val="es-ES"/>
        </w:rPr>
        <w:t>.</w:t>
      </w:r>
    </w:p>
    <w:p w14:paraId="6900AB21" w14:textId="77777777" w:rsidR="00FA7F66" w:rsidRDefault="00BB4EF7" w:rsidP="00306695">
      <w:pPr>
        <w:pStyle w:val="Prrafodelista"/>
        <w:numPr>
          <w:ilvl w:val="0"/>
          <w:numId w:val="3"/>
        </w:numPr>
        <w:spacing w:before="100" w:beforeAutospacing="1" w:after="100" w:afterAutospacing="1"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Un i</w:t>
      </w:r>
      <w:r w:rsidR="00306695">
        <w:rPr>
          <w:rFonts w:ascii="Arial" w:hAnsi="Arial" w:cs="Arial"/>
        </w:rPr>
        <w:t>nforme</w:t>
      </w:r>
      <w:r w:rsidR="00FA7F66">
        <w:rPr>
          <w:rFonts w:ascii="Arial" w:hAnsi="Arial" w:cs="Arial"/>
        </w:rPr>
        <w:t xml:space="preserve"> de la sangre de cordón umbilical que incluya:</w:t>
      </w:r>
    </w:p>
    <w:p w14:paraId="5691F27E" w14:textId="29159BDB" w:rsidR="00FA7F66" w:rsidRPr="00FA7F66" w:rsidRDefault="00FA7F66" w:rsidP="00647D0B">
      <w:pPr>
        <w:pStyle w:val="Prrafodelista"/>
        <w:numPr>
          <w:ilvl w:val="1"/>
          <w:numId w:val="3"/>
        </w:numPr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 w:rsidRPr="00647D0B">
        <w:rPr>
          <w:rFonts w:ascii="Arial" w:hAnsi="Arial" w:cs="Arial"/>
        </w:rPr>
        <w:t>Resultado de las evaluaciones y estudios realizados</w:t>
      </w:r>
      <w:r>
        <w:rPr>
          <w:rFonts w:ascii="Arial" w:hAnsi="Arial" w:cs="Arial"/>
        </w:rPr>
        <w:t>:</w:t>
      </w:r>
      <w:r w:rsidRPr="00647D0B">
        <w:rPr>
          <w:rFonts w:ascii="Arial" w:hAnsi="Arial" w:cs="Arial"/>
        </w:rPr>
        <w:t xml:space="preserve"> clínicos, biológicos, mi</w:t>
      </w:r>
      <w:r w:rsidRPr="00FA7F66">
        <w:rPr>
          <w:rFonts w:ascii="Arial" w:hAnsi="Arial" w:cs="Arial"/>
        </w:rPr>
        <w:t>crobiológicos y/o inmunológicos</w:t>
      </w:r>
      <w:r w:rsidRPr="00647D0B">
        <w:rPr>
          <w:rFonts w:ascii="Arial" w:hAnsi="Arial" w:cs="Arial"/>
        </w:rPr>
        <w:t xml:space="preserve">, </w:t>
      </w:r>
    </w:p>
    <w:p w14:paraId="3059CD09" w14:textId="3D08F5C1" w:rsidR="00306695" w:rsidRDefault="00306695" w:rsidP="00647D0B">
      <w:pPr>
        <w:pStyle w:val="Prrafodelista"/>
        <w:numPr>
          <w:ilvl w:val="1"/>
          <w:numId w:val="3"/>
        </w:numPr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A7F66">
        <w:rPr>
          <w:rFonts w:ascii="Arial" w:hAnsi="Arial" w:cs="Arial"/>
        </w:rPr>
        <w:t xml:space="preserve">Resultados </w:t>
      </w:r>
      <w:r>
        <w:rPr>
          <w:rFonts w:ascii="Arial" w:hAnsi="Arial" w:cs="Arial"/>
        </w:rPr>
        <w:t xml:space="preserve">de celularidad y viabilidad realizados previo al proceso de criopreservación </w:t>
      </w:r>
    </w:p>
    <w:p w14:paraId="5EBFAECA" w14:textId="405BAECA" w:rsidR="00FA7F66" w:rsidRPr="00BA1284" w:rsidRDefault="0078707A" w:rsidP="00306695">
      <w:pPr>
        <w:pStyle w:val="Prrafodelista"/>
        <w:numPr>
          <w:ilvl w:val="0"/>
          <w:numId w:val="3"/>
        </w:numPr>
        <w:spacing w:before="100" w:beforeAutospacing="1" w:after="100" w:afterAutospacing="1" w:line="276" w:lineRule="auto"/>
        <w:ind w:left="567"/>
        <w:jc w:val="both"/>
        <w:rPr>
          <w:rFonts w:ascii="Arial" w:hAnsi="Arial" w:cs="Arial"/>
          <w:color w:val="A6A6A6" w:themeColor="background1" w:themeShade="A6"/>
        </w:rPr>
      </w:pPr>
      <w:r>
        <w:rPr>
          <w:rFonts w:ascii="Arial" w:hAnsi="Arial" w:cs="Arial"/>
        </w:rPr>
        <w:t xml:space="preserve">Un informe que </w:t>
      </w:r>
      <w:r w:rsidR="00FA7F66">
        <w:rPr>
          <w:rFonts w:ascii="Arial" w:hAnsi="Arial" w:cs="Arial"/>
        </w:rPr>
        <w:t>dé</w:t>
      </w:r>
      <w:r>
        <w:rPr>
          <w:rFonts w:ascii="Arial" w:hAnsi="Arial" w:cs="Arial"/>
        </w:rPr>
        <w:t xml:space="preserve"> cuenta del probado beneficio de la utilización de células de sangre de cordón umbilical, para el proceso de trasplante solicitado. </w:t>
      </w:r>
    </w:p>
    <w:p w14:paraId="6F2AFF6E" w14:textId="1D308E64" w:rsidR="00AC45D4" w:rsidRPr="00647D0B" w:rsidRDefault="00AC45D4" w:rsidP="00647D0B">
      <w:pPr>
        <w:pStyle w:val="Prrafodelista"/>
        <w:numPr>
          <w:ilvl w:val="0"/>
          <w:numId w:val="3"/>
        </w:numPr>
        <w:spacing w:before="100" w:beforeAutospacing="1" w:after="100" w:afterAutospacing="1" w:line="276" w:lineRule="auto"/>
        <w:ind w:left="567"/>
        <w:jc w:val="both"/>
        <w:rPr>
          <w:rFonts w:ascii="Arial" w:hAnsi="Arial" w:cs="Arial"/>
        </w:rPr>
      </w:pPr>
      <w:r w:rsidRPr="00647D0B">
        <w:rPr>
          <w:rFonts w:ascii="Arial" w:hAnsi="Arial" w:cs="Arial"/>
        </w:rPr>
        <w:t xml:space="preserve">Un informe técnico documentado </w:t>
      </w:r>
      <w:r w:rsidR="00FA7F66" w:rsidRPr="00647D0B">
        <w:rPr>
          <w:rFonts w:ascii="Arial" w:hAnsi="Arial" w:cs="Arial"/>
        </w:rPr>
        <w:t xml:space="preserve">en </w:t>
      </w:r>
      <w:r w:rsidRPr="00647D0B">
        <w:rPr>
          <w:rFonts w:ascii="Arial" w:hAnsi="Arial" w:cs="Arial"/>
        </w:rPr>
        <w:t>donde figuren las razones médicas que justifique</w:t>
      </w:r>
      <w:r w:rsidR="003924E1" w:rsidRPr="00647D0B">
        <w:rPr>
          <w:rFonts w:ascii="Arial" w:hAnsi="Arial" w:cs="Arial"/>
        </w:rPr>
        <w:t xml:space="preserve"> la indicación de trasplante con las células de cordón umbilical solicitadas para exportación</w:t>
      </w:r>
      <w:r w:rsidR="00FA7F66" w:rsidRPr="00647D0B">
        <w:rPr>
          <w:rFonts w:ascii="Arial" w:hAnsi="Arial" w:cs="Arial"/>
        </w:rPr>
        <w:t>.</w:t>
      </w:r>
    </w:p>
    <w:p w14:paraId="13FF43AA" w14:textId="1A3C6CD9" w:rsidR="005710AB" w:rsidRPr="00647D0B" w:rsidRDefault="00647D0B" w:rsidP="00306695">
      <w:pPr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 w:rsidRPr="00647D0B">
        <w:rPr>
          <w:rFonts w:ascii="Arial" w:hAnsi="Arial" w:cs="Arial"/>
        </w:rPr>
        <w:t>8</w:t>
      </w:r>
      <w:r w:rsidR="00BB4EF7" w:rsidRPr="00647D0B">
        <w:rPr>
          <w:rFonts w:ascii="Arial" w:hAnsi="Arial" w:cs="Arial"/>
        </w:rPr>
        <w:t>.</w:t>
      </w:r>
      <w:r w:rsidR="005710AB" w:rsidRPr="00647D0B">
        <w:rPr>
          <w:rFonts w:ascii="Arial" w:hAnsi="Arial" w:cs="Arial"/>
        </w:rPr>
        <w:t xml:space="preserve"> PROCEDIMIENTO DE AUTORIZACIÓN PARA LA EXPORTACIÓN DE CÉLULA</w:t>
      </w:r>
      <w:r w:rsidR="0078707A" w:rsidRPr="00647D0B">
        <w:rPr>
          <w:rFonts w:ascii="Arial" w:hAnsi="Arial" w:cs="Arial"/>
        </w:rPr>
        <w:t xml:space="preserve"> PROVENIENTE DE SANGRE DE CORDÓN UMBILICAL</w:t>
      </w:r>
    </w:p>
    <w:p w14:paraId="42D389B4" w14:textId="7B16BFF4" w:rsidR="005710AB" w:rsidRPr="00647D0B" w:rsidRDefault="00647D0B" w:rsidP="00306695">
      <w:pPr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5710AB" w:rsidRPr="00647D0B">
        <w:rPr>
          <w:rFonts w:ascii="Arial" w:hAnsi="Arial" w:cs="Arial"/>
        </w:rPr>
        <w:t>.1 La</w:t>
      </w:r>
      <w:r w:rsidR="00323273" w:rsidRPr="00647D0B">
        <w:rPr>
          <w:rFonts w:ascii="Arial" w:hAnsi="Arial" w:cs="Arial"/>
        </w:rPr>
        <w:t xml:space="preserve"> solicitud</w:t>
      </w:r>
      <w:r w:rsidR="005710AB" w:rsidRPr="00647D0B">
        <w:rPr>
          <w:rFonts w:ascii="Arial" w:hAnsi="Arial" w:cs="Arial"/>
        </w:rPr>
        <w:t xml:space="preserve"> de exportación de células</w:t>
      </w:r>
      <w:r w:rsidR="004652ED" w:rsidRPr="00647D0B">
        <w:rPr>
          <w:rFonts w:ascii="Arial" w:hAnsi="Arial" w:cs="Arial"/>
        </w:rPr>
        <w:t xml:space="preserve"> provenientes de sangre de cordón umbilical</w:t>
      </w:r>
      <w:r w:rsidR="005710AB" w:rsidRPr="00647D0B">
        <w:rPr>
          <w:rFonts w:ascii="Arial" w:hAnsi="Arial" w:cs="Arial"/>
        </w:rPr>
        <w:t xml:space="preserve"> </w:t>
      </w:r>
      <w:r w:rsidR="00323273" w:rsidRPr="00647D0B">
        <w:rPr>
          <w:rFonts w:ascii="Arial" w:hAnsi="Arial" w:cs="Arial"/>
        </w:rPr>
        <w:t>destinad</w:t>
      </w:r>
      <w:r w:rsidR="004652ED" w:rsidRPr="00647D0B">
        <w:rPr>
          <w:rFonts w:ascii="Arial" w:hAnsi="Arial" w:cs="Arial"/>
        </w:rPr>
        <w:t>a</w:t>
      </w:r>
      <w:r w:rsidR="00323273" w:rsidRPr="00647D0B">
        <w:rPr>
          <w:rFonts w:ascii="Arial" w:hAnsi="Arial" w:cs="Arial"/>
        </w:rPr>
        <w:t xml:space="preserve">s a procedimientos de donación y trasplante </w:t>
      </w:r>
      <w:r w:rsidR="005710AB" w:rsidRPr="00647D0B">
        <w:rPr>
          <w:rFonts w:ascii="Arial" w:hAnsi="Arial" w:cs="Arial"/>
        </w:rPr>
        <w:t xml:space="preserve">será receptada en la </w:t>
      </w:r>
      <w:r w:rsidR="004652ED" w:rsidRPr="00647D0B">
        <w:rPr>
          <w:rFonts w:ascii="Arial" w:hAnsi="Arial" w:cs="Arial"/>
        </w:rPr>
        <w:t xml:space="preserve">Coordinación </w:t>
      </w:r>
      <w:r w:rsidR="00756514" w:rsidRPr="00647D0B">
        <w:rPr>
          <w:rFonts w:ascii="Arial" w:hAnsi="Arial" w:cs="Arial"/>
        </w:rPr>
        <w:t>Z</w:t>
      </w:r>
      <w:r w:rsidR="005710AB" w:rsidRPr="00647D0B">
        <w:rPr>
          <w:rFonts w:ascii="Arial" w:hAnsi="Arial" w:cs="Arial"/>
        </w:rPr>
        <w:t>onal INDOT</w:t>
      </w:r>
      <w:r w:rsidR="004652ED" w:rsidRPr="00647D0B">
        <w:rPr>
          <w:rFonts w:ascii="Arial" w:hAnsi="Arial" w:cs="Arial"/>
        </w:rPr>
        <w:t>, respectiva</w:t>
      </w:r>
      <w:r w:rsidR="005710AB" w:rsidRPr="00647D0B">
        <w:rPr>
          <w:rFonts w:ascii="Arial" w:hAnsi="Arial" w:cs="Arial"/>
        </w:rPr>
        <w:t>.</w:t>
      </w:r>
    </w:p>
    <w:p w14:paraId="48569A07" w14:textId="46904CAF" w:rsidR="005710AB" w:rsidRPr="00647D0B" w:rsidRDefault="00647D0B" w:rsidP="00306695">
      <w:pPr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5710AB" w:rsidRPr="00647D0B">
        <w:rPr>
          <w:rFonts w:ascii="Arial" w:hAnsi="Arial" w:cs="Arial"/>
        </w:rPr>
        <w:t>.2</w:t>
      </w:r>
      <w:r w:rsidR="00306695" w:rsidRPr="00647D0B">
        <w:rPr>
          <w:rFonts w:ascii="Arial" w:hAnsi="Arial" w:cs="Arial"/>
        </w:rPr>
        <w:t xml:space="preserve"> La Coordinación Zonal INDOT procederá a </w:t>
      </w:r>
      <w:r w:rsidR="00756514" w:rsidRPr="00647D0B">
        <w:rPr>
          <w:rFonts w:ascii="Arial" w:hAnsi="Arial" w:cs="Arial"/>
        </w:rPr>
        <w:t xml:space="preserve">revisar </w:t>
      </w:r>
      <w:r w:rsidR="00306695" w:rsidRPr="00647D0B">
        <w:rPr>
          <w:rFonts w:ascii="Arial" w:hAnsi="Arial" w:cs="Arial"/>
        </w:rPr>
        <w:t>que la solicitud se encuentre completa y correctamente llena</w:t>
      </w:r>
      <w:r w:rsidR="00323273" w:rsidRPr="00647D0B">
        <w:rPr>
          <w:rFonts w:ascii="Arial" w:hAnsi="Arial" w:cs="Arial"/>
        </w:rPr>
        <w:t xml:space="preserve">, así mismo </w:t>
      </w:r>
      <w:r w:rsidR="004652ED" w:rsidRPr="00647D0B">
        <w:rPr>
          <w:rFonts w:ascii="Arial" w:hAnsi="Arial" w:cs="Arial"/>
        </w:rPr>
        <w:t>que contenga, como adjuntos, los documentos</w:t>
      </w:r>
      <w:r w:rsidR="005710AB" w:rsidRPr="00647D0B">
        <w:rPr>
          <w:rFonts w:ascii="Arial" w:hAnsi="Arial" w:cs="Arial"/>
        </w:rPr>
        <w:t xml:space="preserve"> de respaldo</w:t>
      </w:r>
      <w:r w:rsidR="004652ED" w:rsidRPr="00647D0B">
        <w:rPr>
          <w:rFonts w:ascii="Arial" w:hAnsi="Arial" w:cs="Arial"/>
        </w:rPr>
        <w:t xml:space="preserve"> solicitados en este instructivo</w:t>
      </w:r>
      <w:r w:rsidR="005710AB" w:rsidRPr="00647D0B">
        <w:rPr>
          <w:rFonts w:ascii="Arial" w:hAnsi="Arial" w:cs="Arial"/>
        </w:rPr>
        <w:t>.</w:t>
      </w:r>
    </w:p>
    <w:p w14:paraId="3D5FDE01" w14:textId="5BEB61FF" w:rsidR="00323273" w:rsidRDefault="00647D0B" w:rsidP="00306695">
      <w:pPr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5710AB" w:rsidRPr="00647D0B">
        <w:rPr>
          <w:rFonts w:ascii="Arial" w:hAnsi="Arial" w:cs="Arial"/>
        </w:rPr>
        <w:t>.3</w:t>
      </w:r>
      <w:r w:rsidR="00306695" w:rsidRPr="00647D0B">
        <w:rPr>
          <w:rFonts w:ascii="Arial" w:hAnsi="Arial" w:cs="Arial"/>
        </w:rPr>
        <w:t xml:space="preserve"> Una vez </w:t>
      </w:r>
      <w:r w:rsidR="00756514" w:rsidRPr="00647D0B">
        <w:rPr>
          <w:rFonts w:ascii="Arial" w:hAnsi="Arial" w:cs="Arial"/>
        </w:rPr>
        <w:t>revisada la solicitud con los requisitos establecidos parta el efecto</w:t>
      </w:r>
      <w:r w:rsidR="00306695" w:rsidRPr="00647D0B">
        <w:rPr>
          <w:rFonts w:ascii="Arial" w:hAnsi="Arial" w:cs="Arial"/>
        </w:rPr>
        <w:t>; la Coordinación</w:t>
      </w:r>
      <w:r w:rsidR="00306695">
        <w:rPr>
          <w:rFonts w:ascii="Arial" w:hAnsi="Arial" w:cs="Arial"/>
        </w:rPr>
        <w:t xml:space="preserve"> </w:t>
      </w:r>
      <w:r w:rsidR="00756514">
        <w:rPr>
          <w:rFonts w:ascii="Arial" w:hAnsi="Arial" w:cs="Arial"/>
        </w:rPr>
        <w:t>Zonal INDOT</w:t>
      </w:r>
      <w:r w:rsidR="00323273">
        <w:rPr>
          <w:rFonts w:ascii="Arial" w:hAnsi="Arial" w:cs="Arial"/>
        </w:rPr>
        <w:t xml:space="preserve"> emitirá</w:t>
      </w:r>
      <w:r w:rsidR="004652ED">
        <w:rPr>
          <w:rFonts w:ascii="Arial" w:hAnsi="Arial" w:cs="Arial"/>
        </w:rPr>
        <w:t>, en un período máximo de 5 días laborables,</w:t>
      </w:r>
      <w:r w:rsidR="00323273">
        <w:rPr>
          <w:rFonts w:ascii="Arial" w:hAnsi="Arial" w:cs="Arial"/>
        </w:rPr>
        <w:t xml:space="preserve"> el informe técnico</w:t>
      </w:r>
      <w:r w:rsidR="00306695">
        <w:rPr>
          <w:rFonts w:ascii="Arial" w:hAnsi="Arial" w:cs="Arial"/>
        </w:rPr>
        <w:t xml:space="preserve"> para la autorización de la Dirección Ejecutiva a través de del formulario </w:t>
      </w:r>
      <w:r w:rsidR="00306695" w:rsidRPr="00647D0B">
        <w:rPr>
          <w:rFonts w:ascii="Arial" w:hAnsi="Arial" w:cs="Arial"/>
          <w:highlight w:val="yellow"/>
        </w:rPr>
        <w:t>RG-INDOT</w:t>
      </w:r>
      <w:r w:rsidR="00306695" w:rsidRPr="00647D0B">
        <w:rPr>
          <w:rFonts w:ascii="Arial" w:hAnsi="Arial" w:cs="Arial"/>
        </w:rPr>
        <w:t>-</w:t>
      </w:r>
      <w:r w:rsidR="00306695">
        <w:rPr>
          <w:rFonts w:ascii="Arial" w:hAnsi="Arial" w:cs="Arial"/>
        </w:rPr>
        <w:t xml:space="preserve"> "Autorización de Exportación" (ANEXO </w:t>
      </w:r>
      <w:r>
        <w:rPr>
          <w:rFonts w:ascii="Arial" w:hAnsi="Arial" w:cs="Arial"/>
        </w:rPr>
        <w:t>2</w:t>
      </w:r>
      <w:r w:rsidR="00306695">
        <w:rPr>
          <w:rFonts w:ascii="Arial" w:hAnsi="Arial" w:cs="Arial"/>
        </w:rPr>
        <w:t>).</w:t>
      </w:r>
      <w:r w:rsidR="00756514">
        <w:rPr>
          <w:rFonts w:ascii="Arial" w:hAnsi="Arial" w:cs="Arial"/>
        </w:rPr>
        <w:t xml:space="preserve"> </w:t>
      </w:r>
    </w:p>
    <w:p w14:paraId="21D48F93" w14:textId="1052019C" w:rsidR="00306695" w:rsidRPr="00647D0B" w:rsidRDefault="00647D0B" w:rsidP="00306695">
      <w:pPr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8</w:t>
      </w:r>
      <w:r w:rsidR="005710AB" w:rsidRPr="00647D0B">
        <w:rPr>
          <w:rFonts w:ascii="Arial" w:hAnsi="Arial" w:cs="Arial"/>
        </w:rPr>
        <w:t xml:space="preserve">.4 </w:t>
      </w:r>
      <w:r w:rsidR="00306695" w:rsidRPr="00647D0B">
        <w:rPr>
          <w:rFonts w:ascii="Arial" w:hAnsi="Arial" w:cs="Arial"/>
        </w:rPr>
        <w:t>La autorización</w:t>
      </w:r>
      <w:r w:rsidR="00756514" w:rsidRPr="00647D0B">
        <w:rPr>
          <w:rFonts w:ascii="Arial" w:hAnsi="Arial" w:cs="Arial"/>
        </w:rPr>
        <w:t xml:space="preserve"> de exportación de células </w:t>
      </w:r>
      <w:r w:rsidR="004652ED" w:rsidRPr="00647D0B">
        <w:rPr>
          <w:rFonts w:ascii="Arial" w:hAnsi="Arial" w:cs="Arial"/>
        </w:rPr>
        <w:t xml:space="preserve">provenientes de sangre de cordón umbilical </w:t>
      </w:r>
      <w:r w:rsidR="00756514" w:rsidRPr="00647D0B">
        <w:rPr>
          <w:rFonts w:ascii="Arial" w:hAnsi="Arial" w:cs="Arial"/>
        </w:rPr>
        <w:t>destinad</w:t>
      </w:r>
      <w:r w:rsidR="004652ED" w:rsidRPr="00647D0B">
        <w:rPr>
          <w:rFonts w:ascii="Arial" w:hAnsi="Arial" w:cs="Arial"/>
        </w:rPr>
        <w:t>a</w:t>
      </w:r>
      <w:r w:rsidR="00756514" w:rsidRPr="00647D0B">
        <w:rPr>
          <w:rFonts w:ascii="Arial" w:hAnsi="Arial" w:cs="Arial"/>
        </w:rPr>
        <w:t xml:space="preserve">s a procedimientos de donación y trasplante </w:t>
      </w:r>
      <w:r w:rsidR="00306695" w:rsidRPr="00647D0B">
        <w:rPr>
          <w:rFonts w:ascii="Arial" w:hAnsi="Arial" w:cs="Arial"/>
        </w:rPr>
        <w:t xml:space="preserve">se entregará al solicitante. </w:t>
      </w:r>
    </w:p>
    <w:p w14:paraId="2DE2B224" w14:textId="6CDB09C0" w:rsidR="004652ED" w:rsidRPr="00647D0B" w:rsidRDefault="00647D0B" w:rsidP="004652E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4652ED" w:rsidRPr="00647D0B">
        <w:rPr>
          <w:rFonts w:ascii="Arial" w:hAnsi="Arial" w:cs="Arial"/>
        </w:rPr>
        <w:t xml:space="preserve">.5 Los formularios RG-INDOT-178 y </w:t>
      </w:r>
      <w:r w:rsidR="004652ED" w:rsidRPr="00647D0B">
        <w:rPr>
          <w:rFonts w:ascii="Arial" w:hAnsi="Arial" w:cs="Arial"/>
          <w:highlight w:val="yellow"/>
        </w:rPr>
        <w:t>RG-INDOT-..,</w:t>
      </w:r>
      <w:r w:rsidR="004652ED" w:rsidRPr="00647D0B">
        <w:rPr>
          <w:rFonts w:ascii="Arial" w:hAnsi="Arial" w:cs="Arial"/>
        </w:rPr>
        <w:t xml:space="preserve"> deberán ser presentados en el Servicio Nacional de Aduanas, en original y dos copias. El personal aduanero interviniente hará constar su firma en los formularios, reservándose un ejemplar que será archivado en la dependencia, otra copia para el solicitante y el original para la Coordinación Zonal del INDOT.</w:t>
      </w:r>
    </w:p>
    <w:p w14:paraId="7294D19E" w14:textId="0DCB6BF7" w:rsidR="00306695" w:rsidRDefault="00647D0B" w:rsidP="00306695">
      <w:pPr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306695" w:rsidRPr="00647D0B">
        <w:rPr>
          <w:rFonts w:ascii="Arial" w:hAnsi="Arial" w:cs="Arial"/>
        </w:rPr>
        <w:t>.</w:t>
      </w:r>
      <w:r w:rsidR="004652ED" w:rsidRPr="00647D0B">
        <w:rPr>
          <w:rFonts w:ascii="Arial" w:hAnsi="Arial" w:cs="Arial"/>
        </w:rPr>
        <w:t>6</w:t>
      </w:r>
      <w:r w:rsidR="00306695" w:rsidRPr="00647D0B">
        <w:rPr>
          <w:rFonts w:ascii="Arial" w:hAnsi="Arial" w:cs="Arial"/>
        </w:rPr>
        <w:t xml:space="preserve"> Una</w:t>
      </w:r>
      <w:r w:rsidR="00306695">
        <w:rPr>
          <w:rFonts w:ascii="Arial" w:hAnsi="Arial" w:cs="Arial"/>
        </w:rPr>
        <w:t xml:space="preserve"> vez realizado el trasplante, </w:t>
      </w:r>
      <w:r w:rsidR="00306695" w:rsidRPr="00323273">
        <w:rPr>
          <w:rFonts w:ascii="Arial" w:hAnsi="Arial" w:cs="Arial"/>
        </w:rPr>
        <w:t xml:space="preserve">el </w:t>
      </w:r>
      <w:r w:rsidR="00BB4EF7" w:rsidRPr="00323273">
        <w:rPr>
          <w:rFonts w:ascii="Arial" w:hAnsi="Arial" w:cs="Arial"/>
        </w:rPr>
        <w:t>solicitante</w:t>
      </w:r>
      <w:r w:rsidR="00306695" w:rsidRPr="00323273">
        <w:rPr>
          <w:rFonts w:ascii="Arial" w:hAnsi="Arial" w:cs="Arial"/>
        </w:rPr>
        <w:t xml:space="preserve"> remitirá, un informe</w:t>
      </w:r>
      <w:r w:rsidR="00306695">
        <w:rPr>
          <w:rFonts w:ascii="Arial" w:hAnsi="Arial" w:cs="Arial"/>
        </w:rPr>
        <w:t xml:space="preserve"> del resultado obtenido a los 6 (seis) meses de emitida la autorización.</w:t>
      </w:r>
    </w:p>
    <w:p w14:paraId="2A027D75" w14:textId="0B024D32" w:rsidR="00306695" w:rsidRDefault="00647D0B" w:rsidP="0030669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306695">
        <w:rPr>
          <w:rFonts w:ascii="Arial" w:hAnsi="Arial" w:cs="Arial"/>
        </w:rPr>
        <w:t>. TRAZABILIDAD</w:t>
      </w:r>
    </w:p>
    <w:p w14:paraId="3C93B996" w14:textId="1139A75A" w:rsidR="00306695" w:rsidRPr="00647D0B" w:rsidRDefault="00306695" w:rsidP="0030669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A6A6A6" w:themeColor="background1" w:themeShade="A6"/>
        </w:rPr>
        <w:br/>
      </w:r>
      <w:r w:rsidRPr="00647D0B">
        <w:rPr>
          <w:rFonts w:ascii="Arial" w:hAnsi="Arial" w:cs="Arial"/>
        </w:rPr>
        <w:t>Se llevará un sistema de rastreo de origen y destino de tod</w:t>
      </w:r>
      <w:r w:rsidR="003924E1" w:rsidRPr="00647D0B">
        <w:rPr>
          <w:rFonts w:ascii="Arial" w:hAnsi="Arial" w:cs="Arial"/>
        </w:rPr>
        <w:t>a</w:t>
      </w:r>
      <w:r w:rsidRPr="00647D0B">
        <w:rPr>
          <w:rFonts w:ascii="Arial" w:hAnsi="Arial" w:cs="Arial"/>
        </w:rPr>
        <w:t>s células exportad</w:t>
      </w:r>
      <w:r w:rsidR="003924E1" w:rsidRPr="00647D0B">
        <w:rPr>
          <w:rFonts w:ascii="Arial" w:hAnsi="Arial" w:cs="Arial"/>
        </w:rPr>
        <w:t>a</w:t>
      </w:r>
      <w:r w:rsidRPr="00647D0B">
        <w:rPr>
          <w:rFonts w:ascii="Arial" w:hAnsi="Arial" w:cs="Arial"/>
        </w:rPr>
        <w:t>s</w:t>
      </w:r>
      <w:r w:rsidR="004652ED" w:rsidRPr="00647D0B">
        <w:rPr>
          <w:rFonts w:ascii="Arial" w:hAnsi="Arial" w:cs="Arial"/>
        </w:rPr>
        <w:t>;</w:t>
      </w:r>
      <w:r w:rsidRPr="00647D0B">
        <w:rPr>
          <w:rFonts w:ascii="Arial" w:hAnsi="Arial" w:cs="Arial"/>
        </w:rPr>
        <w:t xml:space="preserve"> a su vez toda la información relacionada será ingresada en la Coordinación Zonal INDOT correspondiente con la documentación respectiva de cada proceso</w:t>
      </w:r>
      <w:r w:rsidR="003924E1" w:rsidRPr="00647D0B">
        <w:rPr>
          <w:rFonts w:ascii="Arial" w:hAnsi="Arial" w:cs="Arial"/>
        </w:rPr>
        <w:t>.</w:t>
      </w:r>
      <w:r w:rsidRPr="00647D0B">
        <w:rPr>
          <w:rFonts w:ascii="Arial" w:hAnsi="Arial" w:cs="Arial"/>
        </w:rPr>
        <w:t xml:space="preserve"> </w:t>
      </w:r>
    </w:p>
    <w:p w14:paraId="0A437F4B" w14:textId="77777777" w:rsidR="00306695" w:rsidRDefault="00306695" w:rsidP="0030669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A6A6A6" w:themeColor="background1" w:themeShade="A6"/>
        </w:rPr>
        <w:br/>
      </w:r>
      <w:r>
        <w:rPr>
          <w:rFonts w:ascii="Arial" w:hAnsi="Arial" w:cs="Arial"/>
        </w:rPr>
        <w:t>La información se guarda y se custodia de forma segura por treinta (30) años a partir de su archivo.</w:t>
      </w:r>
    </w:p>
    <w:p w14:paraId="27CEB444" w14:textId="4E1DC015" w:rsidR="00306695" w:rsidRDefault="00306695" w:rsidP="004C368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323273">
        <w:rPr>
          <w:rFonts w:ascii="Arial" w:hAnsi="Arial" w:cs="Arial"/>
          <w:color w:val="FF0000"/>
        </w:rPr>
        <w:t>.</w:t>
      </w:r>
    </w:p>
    <w:p w14:paraId="3FE65717" w14:textId="2F246D1C" w:rsidR="00306695" w:rsidRDefault="00306695" w:rsidP="0030669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A6A6A6" w:themeColor="background1" w:themeShade="A6"/>
        </w:rPr>
        <w:br/>
      </w:r>
      <w:r w:rsidR="00647D0B">
        <w:rPr>
          <w:rFonts w:ascii="Arial" w:hAnsi="Arial" w:cs="Arial"/>
        </w:rPr>
        <w:t>10</w:t>
      </w:r>
      <w:r>
        <w:rPr>
          <w:rFonts w:ascii="Arial" w:hAnsi="Arial" w:cs="Arial"/>
        </w:rPr>
        <w:t>. TRANSPORTE</w:t>
      </w:r>
    </w:p>
    <w:p w14:paraId="02A7E4A7" w14:textId="01152CC3" w:rsidR="00306695" w:rsidRDefault="00306695" w:rsidP="0030669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El </w:t>
      </w:r>
      <w:r w:rsidR="004C3682">
        <w:rPr>
          <w:rFonts w:ascii="Arial" w:hAnsi="Arial" w:cs="Arial"/>
        </w:rPr>
        <w:t>Banco de Sangre de cordón umbilical</w:t>
      </w:r>
      <w:r>
        <w:rPr>
          <w:rFonts w:ascii="Arial" w:hAnsi="Arial" w:cs="Arial"/>
        </w:rPr>
        <w:t xml:space="preserve"> acreditado garantizará el transporte dentro del país de l</w:t>
      </w:r>
      <w:r w:rsidR="004C3682">
        <w:rPr>
          <w:rFonts w:ascii="Arial" w:hAnsi="Arial" w:cs="Arial"/>
        </w:rPr>
        <w:t>a</w:t>
      </w:r>
      <w:r>
        <w:rPr>
          <w:rFonts w:ascii="Arial" w:hAnsi="Arial" w:cs="Arial"/>
        </w:rPr>
        <w:t>s células</w:t>
      </w:r>
      <w:r w:rsidR="004C3682">
        <w:rPr>
          <w:rFonts w:ascii="Arial" w:hAnsi="Arial" w:cs="Arial"/>
        </w:rPr>
        <w:t xml:space="preserve"> provenientes de sangre de cordón umbilical</w:t>
      </w:r>
      <w:r>
        <w:rPr>
          <w:rFonts w:ascii="Arial" w:hAnsi="Arial" w:cs="Arial"/>
        </w:rPr>
        <w:t xml:space="preserve">; durante la exportación el transporte se regirá en base a la normativa vigente en el país y garantizará que </w:t>
      </w:r>
      <w:r w:rsidR="004C3682">
        <w:rPr>
          <w:rFonts w:ascii="Arial" w:hAnsi="Arial" w:cs="Arial"/>
        </w:rPr>
        <w:t>dichas</w:t>
      </w:r>
      <w:r>
        <w:rPr>
          <w:rFonts w:ascii="Arial" w:hAnsi="Arial" w:cs="Arial"/>
        </w:rPr>
        <w:t xml:space="preserve"> células se encuentren en las condiciones específicas de seguridad y calidad.</w:t>
      </w:r>
    </w:p>
    <w:p w14:paraId="7DFB7F3B" w14:textId="2E8D0A24" w:rsidR="00306695" w:rsidRDefault="00306695" w:rsidP="0030669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A6A6A6" w:themeColor="background1" w:themeShade="A6"/>
        </w:rPr>
        <w:br/>
      </w:r>
      <w:r>
        <w:rPr>
          <w:rFonts w:ascii="Arial" w:hAnsi="Arial" w:cs="Arial"/>
        </w:rPr>
        <w:t>1</w:t>
      </w:r>
      <w:r w:rsidR="00647D0B">
        <w:rPr>
          <w:rFonts w:ascii="Arial" w:hAnsi="Arial" w:cs="Arial"/>
        </w:rPr>
        <w:t>1</w:t>
      </w:r>
      <w:r>
        <w:rPr>
          <w:rFonts w:ascii="Arial" w:hAnsi="Arial" w:cs="Arial"/>
        </w:rPr>
        <w:t>. REFERENCIAS BIBLIOGRAFICAS</w:t>
      </w:r>
    </w:p>
    <w:p w14:paraId="344CECDA" w14:textId="77777777" w:rsidR="00BB4EF7" w:rsidRDefault="00BB4EF7" w:rsidP="0030669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06273FB1" w14:textId="77777777" w:rsidR="00306695" w:rsidRPr="00BB4EF7" w:rsidRDefault="00306695" w:rsidP="00BB4EF7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BB4EF7">
        <w:rPr>
          <w:rFonts w:ascii="Arial" w:hAnsi="Arial" w:cs="Arial"/>
        </w:rPr>
        <w:t>Ley Orgánica de Donación y Trasplante de Órganos, Tejidos y Células, Registro Oficial No. 298, 2011</w:t>
      </w:r>
    </w:p>
    <w:p w14:paraId="2AC30A45" w14:textId="77777777" w:rsidR="00306695" w:rsidRPr="00BB4EF7" w:rsidRDefault="00306695" w:rsidP="00BB4EF7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BB4EF7">
        <w:rPr>
          <w:rFonts w:ascii="Arial" w:hAnsi="Arial" w:cs="Arial"/>
        </w:rPr>
        <w:t xml:space="preserve">Instituto Nacional de Donación y Trasplante de Órganos, Tejidos y Células, INDOT (2015). </w:t>
      </w:r>
    </w:p>
    <w:p w14:paraId="176DCFE9" w14:textId="77777777" w:rsidR="00306695" w:rsidRPr="00BB4EF7" w:rsidRDefault="00306695" w:rsidP="00BB4EF7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BB4EF7">
        <w:rPr>
          <w:rFonts w:ascii="Arial" w:hAnsi="Arial" w:cs="Arial"/>
        </w:rPr>
        <w:t>Real Decreto 1301 de 2006 Art 23</w:t>
      </w:r>
    </w:p>
    <w:p w14:paraId="6ACDE520" w14:textId="77777777" w:rsidR="00306695" w:rsidRDefault="00306695" w:rsidP="00BB4EF7">
      <w:pPr>
        <w:pStyle w:val="Default"/>
        <w:numPr>
          <w:ilvl w:val="0"/>
          <w:numId w:val="9"/>
        </w:numPr>
        <w:spacing w:line="276" w:lineRule="auto"/>
        <w:jc w:val="both"/>
      </w:pPr>
      <w:r>
        <w:rPr>
          <w:color w:val="auto"/>
        </w:rPr>
        <w:t xml:space="preserve">Inspección de la Obtención de Tejidos y Células y de los Establecimientos de Tejidos, Guías para las Comunidades Autónomas elaboradas por el Grupo de Inspección de la </w:t>
      </w:r>
      <w:r>
        <w:t>Comisión de Trasplantes del CIT, Anexo 5, 2009.</w:t>
      </w:r>
    </w:p>
    <w:p w14:paraId="77DBE167" w14:textId="77777777" w:rsidR="00306695" w:rsidRDefault="00306695" w:rsidP="00BB4EF7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>
        <w:t>Legislación sobre donación y trasplante de órganos, tejidos y célula: complicación y análisis comparado, Organización Panamericana de la Salud, 2013.</w:t>
      </w:r>
    </w:p>
    <w:p w14:paraId="49631218" w14:textId="463AEA8A" w:rsidR="00306695" w:rsidRDefault="00306695" w:rsidP="00306695">
      <w:pPr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A6A6A6" w:themeColor="background1" w:themeShade="A6"/>
        </w:rPr>
        <w:br/>
      </w:r>
      <w:r>
        <w:rPr>
          <w:rFonts w:ascii="Arial" w:hAnsi="Arial" w:cs="Arial"/>
        </w:rPr>
        <w:t>1</w:t>
      </w:r>
      <w:r w:rsidR="00647D0B">
        <w:rPr>
          <w:rFonts w:ascii="Arial" w:hAnsi="Arial" w:cs="Arial"/>
        </w:rPr>
        <w:t>2</w:t>
      </w:r>
      <w:r>
        <w:rPr>
          <w:rFonts w:ascii="Arial" w:hAnsi="Arial" w:cs="Arial"/>
        </w:rPr>
        <w:t>. ANEXOS:</w:t>
      </w:r>
    </w:p>
    <w:p w14:paraId="14E96B4B" w14:textId="2859F38C" w:rsidR="00306695" w:rsidRDefault="00306695" w:rsidP="00306695">
      <w:pPr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ANEXO </w:t>
      </w:r>
      <w:r w:rsidR="00647D0B">
        <w:rPr>
          <w:rFonts w:ascii="Arial" w:hAnsi="Arial" w:cs="Arial"/>
        </w:rPr>
        <w:t>1</w:t>
      </w:r>
      <w:r>
        <w:rPr>
          <w:rFonts w:ascii="Arial" w:hAnsi="Arial" w:cs="Arial"/>
        </w:rPr>
        <w:t>:</w:t>
      </w:r>
      <w:r w:rsidR="00BB4E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FORMULARIO RG-INDOT-178: AUTORIZACIÓN DE TRANSPORTE DE SANGRE DE CORDÓN UMBILICAL</w:t>
      </w:r>
    </w:p>
    <w:p w14:paraId="59C5D4D1" w14:textId="2AD8B6B2" w:rsidR="00306695" w:rsidRDefault="00306695" w:rsidP="00306695">
      <w:pPr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ANEXO </w:t>
      </w:r>
      <w:r w:rsidR="00647D0B">
        <w:rPr>
          <w:rFonts w:ascii="Arial" w:hAnsi="Arial" w:cs="Arial"/>
        </w:rPr>
        <w:t>2</w:t>
      </w:r>
      <w:r>
        <w:rPr>
          <w:rFonts w:ascii="Arial" w:hAnsi="Arial" w:cs="Arial"/>
        </w:rPr>
        <w:t>:</w:t>
      </w:r>
      <w:r w:rsidR="00BB4E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FORMULARIO </w:t>
      </w:r>
      <w:r>
        <w:rPr>
          <w:rFonts w:ascii="Arial" w:hAnsi="Arial" w:cs="Arial"/>
          <w:highlight w:val="yellow"/>
        </w:rPr>
        <w:t>RG-INDOT-</w:t>
      </w:r>
      <w:r>
        <w:rPr>
          <w:rFonts w:ascii="Arial" w:hAnsi="Arial" w:cs="Arial"/>
        </w:rPr>
        <w:t xml:space="preserve"> AUTORIZACION DE EXPORTACION</w:t>
      </w:r>
    </w:p>
    <w:p w14:paraId="1993855F" w14:textId="77777777" w:rsidR="00DE4181" w:rsidRDefault="00DE4181" w:rsidP="00306695">
      <w:pPr>
        <w:spacing w:before="100" w:beforeAutospacing="1" w:after="100" w:afterAutospacing="1" w:line="276" w:lineRule="auto"/>
        <w:jc w:val="both"/>
        <w:rPr>
          <w:rFonts w:ascii="Arial" w:hAnsi="Arial" w:cs="Arial"/>
        </w:rPr>
      </w:pPr>
    </w:p>
    <w:p w14:paraId="4B705179" w14:textId="77777777" w:rsidR="00DE4181" w:rsidRDefault="00DE4181" w:rsidP="00306695">
      <w:pPr>
        <w:spacing w:before="100" w:beforeAutospacing="1" w:after="100" w:afterAutospacing="1" w:line="276" w:lineRule="auto"/>
        <w:jc w:val="both"/>
        <w:rPr>
          <w:rFonts w:ascii="Arial" w:hAnsi="Arial" w:cs="Arial"/>
        </w:rPr>
      </w:pPr>
    </w:p>
    <w:tbl>
      <w:tblPr>
        <w:tblStyle w:val="Tablaconcuadrcula"/>
        <w:tblW w:w="9032" w:type="dxa"/>
        <w:jc w:val="center"/>
        <w:tblLook w:val="04A0" w:firstRow="1" w:lastRow="0" w:firstColumn="1" w:lastColumn="0" w:noHBand="0" w:noVBand="1"/>
      </w:tblPr>
      <w:tblGrid>
        <w:gridCol w:w="3010"/>
        <w:gridCol w:w="3011"/>
        <w:gridCol w:w="3011"/>
      </w:tblGrid>
      <w:tr w:rsidR="00DE4181" w:rsidRPr="00F9158F" w14:paraId="63DD12EE" w14:textId="77777777" w:rsidTr="00C332ED">
        <w:trPr>
          <w:trHeight w:val="188"/>
          <w:jc w:val="center"/>
        </w:trPr>
        <w:tc>
          <w:tcPr>
            <w:tcW w:w="3010" w:type="dxa"/>
            <w:vAlign w:val="center"/>
          </w:tcPr>
          <w:p w14:paraId="23385C77" w14:textId="77777777" w:rsidR="00DE4181" w:rsidRPr="00F9158F" w:rsidRDefault="00DE4181" w:rsidP="00C332ED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9158F">
              <w:rPr>
                <w:rFonts w:ascii="Arial" w:hAnsi="Arial" w:cs="Arial"/>
                <w:color w:val="000000" w:themeColor="text1"/>
                <w:sz w:val="16"/>
                <w:szCs w:val="16"/>
              </w:rPr>
              <w:t>Realizado y adaptado por:</w:t>
            </w:r>
          </w:p>
        </w:tc>
        <w:tc>
          <w:tcPr>
            <w:tcW w:w="3011" w:type="dxa"/>
            <w:vAlign w:val="center"/>
          </w:tcPr>
          <w:p w14:paraId="44401526" w14:textId="77777777" w:rsidR="00DE4181" w:rsidRPr="00F9158F" w:rsidRDefault="00DE4181" w:rsidP="00C332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9158F">
              <w:rPr>
                <w:rFonts w:ascii="Arial" w:hAnsi="Arial" w:cs="Arial"/>
                <w:color w:val="000000" w:themeColor="text1"/>
                <w:sz w:val="16"/>
                <w:szCs w:val="16"/>
              </w:rPr>
              <w:t>Dra. Margarita Pérez</w:t>
            </w:r>
          </w:p>
          <w:p w14:paraId="69783D6D" w14:textId="77777777" w:rsidR="00DE4181" w:rsidRPr="00F9158F" w:rsidRDefault="00DE4181" w:rsidP="00C332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9158F">
              <w:rPr>
                <w:rFonts w:ascii="Arial" w:hAnsi="Arial" w:cs="Arial"/>
                <w:color w:val="000000" w:themeColor="text1"/>
                <w:sz w:val="16"/>
                <w:szCs w:val="16"/>
              </w:rPr>
              <w:t>Directora de Regulación, Control y Gestión de la Calidad</w:t>
            </w:r>
          </w:p>
        </w:tc>
        <w:tc>
          <w:tcPr>
            <w:tcW w:w="3011" w:type="dxa"/>
          </w:tcPr>
          <w:p w14:paraId="44D96AA5" w14:textId="77777777" w:rsidR="00DE4181" w:rsidRPr="00F9158F" w:rsidRDefault="00DE4181" w:rsidP="00C332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E4181" w:rsidRPr="00F9158F" w14:paraId="03CA10B8" w14:textId="77777777" w:rsidTr="00C332ED">
        <w:trPr>
          <w:trHeight w:val="613"/>
          <w:jc w:val="center"/>
        </w:trPr>
        <w:tc>
          <w:tcPr>
            <w:tcW w:w="3010" w:type="dxa"/>
            <w:vAlign w:val="center"/>
          </w:tcPr>
          <w:p w14:paraId="332C303E" w14:textId="77777777" w:rsidR="00DE4181" w:rsidRPr="00F9158F" w:rsidRDefault="00DE4181" w:rsidP="00C332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9158F">
              <w:rPr>
                <w:rFonts w:ascii="Arial" w:hAnsi="Arial" w:cs="Arial"/>
                <w:color w:val="000000" w:themeColor="text1"/>
                <w:sz w:val="16"/>
                <w:szCs w:val="16"/>
              </w:rPr>
              <w:t>Revisado y aprobado por:</w:t>
            </w:r>
          </w:p>
        </w:tc>
        <w:tc>
          <w:tcPr>
            <w:tcW w:w="3011" w:type="dxa"/>
            <w:vAlign w:val="center"/>
          </w:tcPr>
          <w:p w14:paraId="4143970F" w14:textId="77777777" w:rsidR="00DE4181" w:rsidRPr="00F9158F" w:rsidRDefault="00DE4181" w:rsidP="00C332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9158F">
              <w:rPr>
                <w:rFonts w:ascii="Arial" w:hAnsi="Arial" w:cs="Arial"/>
                <w:color w:val="000000" w:themeColor="text1"/>
                <w:sz w:val="16"/>
                <w:szCs w:val="16"/>
              </w:rPr>
              <w:t>Dra. Narcisa Calahorrano</w:t>
            </w:r>
          </w:p>
          <w:p w14:paraId="590700CD" w14:textId="77777777" w:rsidR="00DE4181" w:rsidRPr="00F9158F" w:rsidRDefault="00DE4181" w:rsidP="00C332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9158F">
              <w:rPr>
                <w:rFonts w:ascii="Arial" w:hAnsi="Arial" w:cs="Arial"/>
                <w:color w:val="000000" w:themeColor="text1"/>
                <w:sz w:val="16"/>
                <w:szCs w:val="16"/>
              </w:rPr>
              <w:t>Coordinadora General Técnica</w:t>
            </w:r>
          </w:p>
        </w:tc>
        <w:tc>
          <w:tcPr>
            <w:tcW w:w="3011" w:type="dxa"/>
          </w:tcPr>
          <w:p w14:paraId="7CB696F4" w14:textId="77777777" w:rsidR="00DE4181" w:rsidRPr="00F9158F" w:rsidRDefault="00DE4181" w:rsidP="00C332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14:paraId="3F3B5AB1" w14:textId="77777777" w:rsidR="00D8635C" w:rsidRDefault="00D8635C" w:rsidP="00306695">
      <w:pPr>
        <w:spacing w:line="276" w:lineRule="auto"/>
      </w:pPr>
    </w:p>
    <w:sectPr w:rsidR="00D8635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F723BF" w14:textId="77777777" w:rsidR="00DE4181" w:rsidRDefault="00DE4181" w:rsidP="00DE4181">
      <w:r>
        <w:separator/>
      </w:r>
    </w:p>
  </w:endnote>
  <w:endnote w:type="continuationSeparator" w:id="0">
    <w:p w14:paraId="64BE9F67" w14:textId="77777777" w:rsidR="00DE4181" w:rsidRDefault="00DE4181" w:rsidP="00DE4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D3DA4C" w14:textId="77777777" w:rsidR="00DE4181" w:rsidRDefault="00DE4181" w:rsidP="00DE4181">
      <w:r>
        <w:separator/>
      </w:r>
    </w:p>
  </w:footnote>
  <w:footnote w:type="continuationSeparator" w:id="0">
    <w:p w14:paraId="5D25FCDD" w14:textId="77777777" w:rsidR="00DE4181" w:rsidRDefault="00DE4181" w:rsidP="00DE41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0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86"/>
      <w:gridCol w:w="3870"/>
      <w:gridCol w:w="3184"/>
    </w:tblGrid>
    <w:tr w:rsidR="00DE4181" w:rsidRPr="006A4D8C" w14:paraId="320421ED" w14:textId="77777777" w:rsidTr="00C332ED">
      <w:trPr>
        <w:trHeight w:val="527"/>
      </w:trPr>
      <w:tc>
        <w:tcPr>
          <w:tcW w:w="2586" w:type="dxa"/>
          <w:vMerge w:val="restart"/>
          <w:vAlign w:val="center"/>
        </w:tcPr>
        <w:p w14:paraId="1B794833" w14:textId="77777777" w:rsidR="00DE4181" w:rsidRPr="00C25097" w:rsidRDefault="00DE4181" w:rsidP="00DE418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lang w:val="es-ES"/>
            </w:rPr>
          </w:pPr>
          <w:r w:rsidRPr="00B969EE">
            <w:rPr>
              <w:noProof/>
            </w:rPr>
            <w:drawing>
              <wp:inline distT="0" distB="0" distL="0" distR="0" wp14:anchorId="090FD803" wp14:editId="35BB47CC">
                <wp:extent cx="1447800" cy="447675"/>
                <wp:effectExtent l="0" t="0" r="0" b="9525"/>
                <wp:docPr id="2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950" b="16451"/>
                        <a:stretch/>
                      </pic:blipFill>
                      <pic:spPr bwMode="auto">
                        <a:xfrm>
                          <a:off x="0" y="0"/>
                          <a:ext cx="14478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vMerge w:val="restart"/>
          <w:shd w:val="clear" w:color="auto" w:fill="auto"/>
          <w:vAlign w:val="center"/>
        </w:tcPr>
        <w:p w14:paraId="16D381E1" w14:textId="7B615124" w:rsidR="00DE4181" w:rsidRPr="00B07711" w:rsidRDefault="00DE4181" w:rsidP="00DE4181">
          <w:pPr>
            <w:spacing w:before="100" w:beforeAutospacing="1" w:after="100" w:afterAutospacing="1" w:line="276" w:lineRule="aut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DE4181">
            <w:rPr>
              <w:rFonts w:ascii="Arial" w:hAnsi="Arial" w:cs="Arial"/>
              <w:b/>
              <w:sz w:val="16"/>
              <w:szCs w:val="16"/>
            </w:rPr>
            <w:t>INSTRUCTIVO PARA EXPORTACION DE CÉLULAS PROVENIENTES DE SANGRE DE CORDÓN UMBILICAL CON FINES DE DONACIÓN Y TRASPLANTE Y SUS ANEXOS</w:t>
          </w:r>
        </w:p>
      </w:tc>
      <w:tc>
        <w:tcPr>
          <w:tcW w:w="3184" w:type="dxa"/>
          <w:vAlign w:val="center"/>
        </w:tcPr>
        <w:p w14:paraId="4B2A54CD" w14:textId="5DCC5872" w:rsidR="00DE4181" w:rsidRPr="00C25097" w:rsidRDefault="00DE4181" w:rsidP="00DE4181">
          <w:pPr>
            <w:keepNext/>
            <w:ind w:left="1152" w:hanging="1152"/>
            <w:outlineLvl w:val="5"/>
            <w:rPr>
              <w:rFonts w:ascii="Arial" w:hAnsi="Arial" w:cs="Arial"/>
              <w:b/>
              <w:sz w:val="20"/>
              <w:szCs w:val="20"/>
              <w:lang w:val="es-ES" w:eastAsia="es-ES"/>
            </w:rPr>
          </w:pPr>
          <w:r w:rsidRPr="00C25097">
            <w:rPr>
              <w:rFonts w:ascii="Arial" w:hAnsi="Arial" w:cs="Arial"/>
              <w:b/>
              <w:sz w:val="20"/>
              <w:szCs w:val="20"/>
              <w:lang w:val="es-ES" w:eastAsia="es-ES"/>
            </w:rPr>
            <w:t xml:space="preserve">FECHA: </w:t>
          </w:r>
          <w:r w:rsidRPr="00DE4181">
            <w:rPr>
              <w:rFonts w:ascii="Arial" w:hAnsi="Arial" w:cs="Arial"/>
              <w:sz w:val="20"/>
              <w:szCs w:val="20"/>
              <w:lang w:val="es-ES" w:eastAsia="es-ES"/>
            </w:rPr>
            <w:t>23</w:t>
          </w:r>
          <w:r w:rsidRPr="00DE4181">
            <w:rPr>
              <w:rFonts w:ascii="Arial" w:hAnsi="Arial" w:cs="Arial"/>
              <w:sz w:val="20"/>
              <w:szCs w:val="20"/>
              <w:lang w:val="es-ES" w:eastAsia="es-ES"/>
            </w:rPr>
            <w:t>/07/2018</w:t>
          </w:r>
        </w:p>
      </w:tc>
    </w:tr>
    <w:tr w:rsidR="00DE4181" w:rsidRPr="006A4D8C" w14:paraId="10071C35" w14:textId="77777777" w:rsidTr="00C332ED">
      <w:trPr>
        <w:trHeight w:val="347"/>
      </w:trPr>
      <w:tc>
        <w:tcPr>
          <w:tcW w:w="2586" w:type="dxa"/>
          <w:vMerge/>
        </w:tcPr>
        <w:p w14:paraId="639658B0" w14:textId="77777777" w:rsidR="00DE4181" w:rsidRPr="00C25097" w:rsidRDefault="00DE4181" w:rsidP="00DE4181">
          <w:pPr>
            <w:jc w:val="center"/>
            <w:rPr>
              <w:rFonts w:ascii="Arial" w:hAnsi="Arial" w:cs="Arial"/>
              <w:lang w:val="es-ES"/>
            </w:rPr>
          </w:pPr>
        </w:p>
      </w:tc>
      <w:tc>
        <w:tcPr>
          <w:tcW w:w="3870" w:type="dxa"/>
          <w:vMerge/>
          <w:shd w:val="clear" w:color="auto" w:fill="auto"/>
        </w:tcPr>
        <w:p w14:paraId="19D53EBE" w14:textId="77777777" w:rsidR="00DE4181" w:rsidRPr="00C25097" w:rsidRDefault="00DE4181" w:rsidP="00DE4181">
          <w:pPr>
            <w:tabs>
              <w:tab w:val="center" w:pos="4252"/>
              <w:tab w:val="right" w:pos="8504"/>
            </w:tabs>
            <w:rPr>
              <w:rFonts w:ascii="Arial" w:hAnsi="Arial" w:cs="Arial"/>
              <w:lang w:val="es-ES"/>
            </w:rPr>
          </w:pPr>
        </w:p>
      </w:tc>
      <w:tc>
        <w:tcPr>
          <w:tcW w:w="3184" w:type="dxa"/>
          <w:vAlign w:val="center"/>
        </w:tcPr>
        <w:p w14:paraId="24D4BA98" w14:textId="5C00F97F" w:rsidR="00DE4181" w:rsidRPr="00C25097" w:rsidRDefault="00DE4181" w:rsidP="00DE418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u w:val="single"/>
              <w:lang w:val="es-ES"/>
            </w:rPr>
          </w:pPr>
          <w:r w:rsidRPr="00C25097">
            <w:rPr>
              <w:rFonts w:ascii="Arial" w:hAnsi="Arial" w:cs="Arial"/>
              <w:b/>
              <w:sz w:val="20"/>
              <w:lang w:val="es-ES"/>
            </w:rPr>
            <w:t xml:space="preserve">CÓDIGO: </w:t>
          </w:r>
          <w:r w:rsidRPr="00DE4181">
            <w:rPr>
              <w:rFonts w:ascii="Arial" w:hAnsi="Arial" w:cs="Arial"/>
              <w:sz w:val="20"/>
              <w:lang w:val="es-ES"/>
            </w:rPr>
            <w:t>PRL-13-INS-01</w:t>
          </w:r>
        </w:p>
      </w:tc>
    </w:tr>
    <w:tr w:rsidR="00DE4181" w:rsidRPr="006A4D8C" w14:paraId="077F6F67" w14:textId="77777777" w:rsidTr="00C332ED">
      <w:trPr>
        <w:trHeight w:val="300"/>
      </w:trPr>
      <w:tc>
        <w:tcPr>
          <w:tcW w:w="2586" w:type="dxa"/>
          <w:vMerge/>
        </w:tcPr>
        <w:p w14:paraId="7BD1DF90" w14:textId="77777777" w:rsidR="00DE4181" w:rsidRPr="00C25097" w:rsidRDefault="00DE4181" w:rsidP="00DE4181">
          <w:pPr>
            <w:jc w:val="center"/>
            <w:rPr>
              <w:rFonts w:ascii="Arial" w:hAnsi="Arial" w:cs="Arial"/>
              <w:lang w:val="es-ES"/>
            </w:rPr>
          </w:pPr>
        </w:p>
      </w:tc>
      <w:tc>
        <w:tcPr>
          <w:tcW w:w="3870" w:type="dxa"/>
          <w:shd w:val="clear" w:color="auto" w:fill="auto"/>
          <w:vAlign w:val="center"/>
        </w:tcPr>
        <w:p w14:paraId="3D7A8E00" w14:textId="77777777" w:rsidR="00DE4181" w:rsidRPr="00C25097" w:rsidRDefault="00DE4181" w:rsidP="00DE418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lang w:val="es-ES"/>
            </w:rPr>
          </w:pPr>
          <w:r>
            <w:rPr>
              <w:rFonts w:ascii="Arial" w:hAnsi="Arial" w:cs="Arial"/>
              <w:b/>
              <w:lang w:val="es-ES"/>
            </w:rPr>
            <w:t>Versión: 01</w:t>
          </w:r>
        </w:p>
      </w:tc>
      <w:tc>
        <w:tcPr>
          <w:tcW w:w="3184" w:type="dxa"/>
          <w:vMerge w:val="restart"/>
          <w:vAlign w:val="center"/>
        </w:tcPr>
        <w:p w14:paraId="21A6650D" w14:textId="77777777" w:rsidR="00DE4181" w:rsidRPr="00C25097" w:rsidRDefault="00DE4181" w:rsidP="00DE4181">
          <w:pPr>
            <w:keepNext/>
            <w:ind w:left="1152" w:hanging="1152"/>
            <w:outlineLvl w:val="5"/>
            <w:rPr>
              <w:rFonts w:ascii="Arial" w:hAnsi="Arial" w:cs="Arial"/>
              <w:b/>
              <w:sz w:val="20"/>
              <w:szCs w:val="20"/>
              <w:lang w:val="es-ES" w:eastAsia="es-ES"/>
            </w:rPr>
          </w:pPr>
          <w:r w:rsidRPr="00C25097">
            <w:rPr>
              <w:rFonts w:ascii="Arial" w:hAnsi="Arial" w:cs="Arial"/>
              <w:b/>
              <w:sz w:val="20"/>
              <w:szCs w:val="20"/>
              <w:lang w:val="es-ES" w:eastAsia="es-ES"/>
            </w:rPr>
            <w:t xml:space="preserve">PÁGINA: </w:t>
          </w:r>
          <w:r w:rsidRPr="00C25097">
            <w:rPr>
              <w:rFonts w:ascii="Arial" w:hAnsi="Arial" w:cs="Arial"/>
              <w:sz w:val="20"/>
              <w:szCs w:val="20"/>
              <w:lang w:val="es-ES" w:eastAsia="es-ES"/>
            </w:rPr>
            <w:fldChar w:fldCharType="begin"/>
          </w:r>
          <w:r w:rsidRPr="00C25097">
            <w:rPr>
              <w:rFonts w:ascii="Arial" w:hAnsi="Arial" w:cs="Arial"/>
              <w:sz w:val="20"/>
              <w:szCs w:val="20"/>
              <w:lang w:val="es-ES" w:eastAsia="es-ES"/>
            </w:rPr>
            <w:instrText xml:space="preserve"> PAGE </w:instrText>
          </w:r>
          <w:r w:rsidRPr="00C25097">
            <w:rPr>
              <w:rFonts w:ascii="Arial" w:hAnsi="Arial" w:cs="Arial"/>
              <w:sz w:val="20"/>
              <w:szCs w:val="20"/>
              <w:lang w:val="es-ES" w:eastAsia="es-ES"/>
            </w:rPr>
            <w:fldChar w:fldCharType="separate"/>
          </w:r>
          <w:r w:rsidR="007B6ED1">
            <w:rPr>
              <w:rFonts w:ascii="Arial" w:hAnsi="Arial" w:cs="Arial"/>
              <w:noProof/>
              <w:sz w:val="20"/>
              <w:szCs w:val="20"/>
              <w:lang w:val="es-ES" w:eastAsia="es-ES"/>
            </w:rPr>
            <w:t>1</w:t>
          </w:r>
          <w:r w:rsidRPr="00C25097">
            <w:rPr>
              <w:rFonts w:ascii="Arial" w:hAnsi="Arial" w:cs="Arial"/>
              <w:sz w:val="20"/>
              <w:szCs w:val="20"/>
              <w:lang w:val="es-ES" w:eastAsia="es-ES"/>
            </w:rPr>
            <w:fldChar w:fldCharType="end"/>
          </w:r>
          <w:r w:rsidRPr="00C25097">
            <w:rPr>
              <w:rFonts w:ascii="Arial" w:hAnsi="Arial" w:cs="Arial"/>
              <w:sz w:val="20"/>
              <w:szCs w:val="20"/>
              <w:lang w:val="es-ES" w:eastAsia="es-ES"/>
            </w:rPr>
            <w:t xml:space="preserve"> de </w:t>
          </w:r>
          <w:r w:rsidRPr="00C25097">
            <w:rPr>
              <w:rFonts w:ascii="Arial" w:hAnsi="Arial" w:cs="Arial"/>
              <w:sz w:val="20"/>
              <w:szCs w:val="20"/>
              <w:lang w:val="es-ES" w:eastAsia="es-ES"/>
            </w:rPr>
            <w:fldChar w:fldCharType="begin"/>
          </w:r>
          <w:r w:rsidRPr="00C25097">
            <w:rPr>
              <w:rFonts w:ascii="Arial" w:hAnsi="Arial" w:cs="Arial"/>
              <w:sz w:val="20"/>
              <w:szCs w:val="20"/>
              <w:lang w:val="es-ES" w:eastAsia="es-ES"/>
            </w:rPr>
            <w:instrText xml:space="preserve"> NUMPAGES </w:instrText>
          </w:r>
          <w:r w:rsidRPr="00C25097">
            <w:rPr>
              <w:rFonts w:ascii="Arial" w:hAnsi="Arial" w:cs="Arial"/>
              <w:sz w:val="20"/>
              <w:szCs w:val="20"/>
              <w:lang w:val="es-ES" w:eastAsia="es-ES"/>
            </w:rPr>
            <w:fldChar w:fldCharType="separate"/>
          </w:r>
          <w:r w:rsidR="007B6ED1">
            <w:rPr>
              <w:rFonts w:ascii="Arial" w:hAnsi="Arial" w:cs="Arial"/>
              <w:noProof/>
              <w:sz w:val="20"/>
              <w:szCs w:val="20"/>
              <w:lang w:val="es-ES" w:eastAsia="es-ES"/>
            </w:rPr>
            <w:t>6</w:t>
          </w:r>
          <w:r w:rsidRPr="00C25097">
            <w:rPr>
              <w:rFonts w:ascii="Arial" w:hAnsi="Arial" w:cs="Arial"/>
              <w:sz w:val="20"/>
              <w:szCs w:val="20"/>
              <w:lang w:val="es-ES" w:eastAsia="es-ES"/>
            </w:rPr>
            <w:fldChar w:fldCharType="end"/>
          </w:r>
        </w:p>
      </w:tc>
    </w:tr>
    <w:tr w:rsidR="00DE4181" w:rsidRPr="006A4D8C" w14:paraId="62FC6DDE" w14:textId="77777777" w:rsidTr="00C332ED">
      <w:trPr>
        <w:trHeight w:val="440"/>
      </w:trPr>
      <w:tc>
        <w:tcPr>
          <w:tcW w:w="2586" w:type="dxa"/>
          <w:vMerge/>
          <w:tcBorders>
            <w:bottom w:val="single" w:sz="4" w:space="0" w:color="auto"/>
          </w:tcBorders>
        </w:tcPr>
        <w:p w14:paraId="3EE1876D" w14:textId="77777777" w:rsidR="00DE4181" w:rsidRPr="00C25097" w:rsidRDefault="00DE4181" w:rsidP="00DE4181">
          <w:pPr>
            <w:jc w:val="center"/>
            <w:rPr>
              <w:rFonts w:ascii="Arial" w:hAnsi="Arial" w:cs="Arial"/>
              <w:lang w:val="es-ES"/>
            </w:rPr>
          </w:pPr>
        </w:p>
      </w:tc>
      <w:tc>
        <w:tcPr>
          <w:tcW w:w="387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6D154599" w14:textId="77777777" w:rsidR="00DE4181" w:rsidRPr="00C25097" w:rsidRDefault="00DE4181" w:rsidP="00DE4181">
          <w:pPr>
            <w:tabs>
              <w:tab w:val="center" w:pos="4252"/>
              <w:tab w:val="right" w:pos="8504"/>
            </w:tabs>
            <w:rPr>
              <w:rFonts w:ascii="Arial" w:hAnsi="Arial" w:cs="Arial"/>
              <w:b/>
              <w:sz w:val="10"/>
              <w:lang w:val="es-ES"/>
            </w:rPr>
          </w:pPr>
          <w:r w:rsidRPr="00C25097">
            <w:rPr>
              <w:rFonts w:ascii="Arial" w:hAnsi="Arial" w:cs="Arial"/>
              <w:b/>
              <w:sz w:val="12"/>
              <w:lang w:val="es-ES"/>
            </w:rPr>
            <w:t>PUBLICADO    EN ANALISIS           BORRADOR        OBSOLETO</w:t>
          </w:r>
        </w:p>
        <w:p w14:paraId="641BF917" w14:textId="77777777" w:rsidR="00DE4181" w:rsidRPr="00C25097" w:rsidRDefault="00DE4181" w:rsidP="00DE4181">
          <w:pPr>
            <w:tabs>
              <w:tab w:val="center" w:pos="4252"/>
              <w:tab w:val="right" w:pos="8504"/>
            </w:tabs>
            <w:rPr>
              <w:rFonts w:ascii="Arial" w:hAnsi="Arial" w:cs="Arial"/>
              <w:b/>
              <w:lang w:val="es-ES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8456B91" wp14:editId="7A3C710A">
                    <wp:simplePos x="0" y="0"/>
                    <wp:positionH relativeFrom="column">
                      <wp:posOffset>699770</wp:posOffset>
                    </wp:positionH>
                    <wp:positionV relativeFrom="paragraph">
                      <wp:posOffset>5715</wp:posOffset>
                    </wp:positionV>
                    <wp:extent cx="161925" cy="117475"/>
                    <wp:effectExtent l="0" t="0" r="28575" b="15875"/>
                    <wp:wrapNone/>
                    <wp:docPr id="8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B5A819A" id="Rectángulo 8" o:spid="_x0000_s1026" style="position:absolute;margin-left:55.1pt;margin-top:.45pt;width:12.75pt;height: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i1IgIAAD0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"/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41856" behindDoc="0" locked="0" layoutInCell="1" allowOverlap="1" wp14:anchorId="7BC984E4" wp14:editId="7CFC0D32">
                    <wp:simplePos x="0" y="0"/>
                    <wp:positionH relativeFrom="column">
                      <wp:posOffset>168910</wp:posOffset>
                    </wp:positionH>
                    <wp:positionV relativeFrom="paragraph">
                      <wp:posOffset>8890</wp:posOffset>
                    </wp:positionV>
                    <wp:extent cx="161925" cy="117475"/>
                    <wp:effectExtent l="0" t="0" r="28575" b="15875"/>
                    <wp:wrapNone/>
                    <wp:docPr id="7" name="Rectángul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5BD8CF8" id="Rectángulo 7" o:spid="_x0000_s1026" style="position:absolute;margin-left:13.3pt;margin-top:.7pt;width:12.75pt;height:9.2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" fillcolor="#c00000"/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87936" behindDoc="0" locked="0" layoutInCell="1" allowOverlap="1" wp14:anchorId="6C93266E" wp14:editId="6436401F">
                    <wp:simplePos x="0" y="0"/>
                    <wp:positionH relativeFrom="column">
                      <wp:posOffset>1372870</wp:posOffset>
                    </wp:positionH>
                    <wp:positionV relativeFrom="paragraph">
                      <wp:posOffset>7620</wp:posOffset>
                    </wp:positionV>
                    <wp:extent cx="161925" cy="117475"/>
                    <wp:effectExtent l="0" t="0" r="28575" b="15875"/>
                    <wp:wrapNone/>
                    <wp:docPr id="9" name="Rectángu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E9DA52D" id="Rectángulo 9" o:spid="_x0000_s1026" style="position:absolute;margin-left:108.1pt;margin-top:.6pt;width:12.75pt;height:9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" filled="f"/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2576" behindDoc="0" locked="0" layoutInCell="1" allowOverlap="1" wp14:anchorId="1046D056" wp14:editId="07B33C60">
                    <wp:simplePos x="0" y="0"/>
                    <wp:positionH relativeFrom="column">
                      <wp:posOffset>2026285</wp:posOffset>
                    </wp:positionH>
                    <wp:positionV relativeFrom="paragraph">
                      <wp:posOffset>4445</wp:posOffset>
                    </wp:positionV>
                    <wp:extent cx="161925" cy="117475"/>
                    <wp:effectExtent l="0" t="0" r="28575" b="15875"/>
                    <wp:wrapNone/>
                    <wp:docPr id="10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D31E86E" id="Rectángulo 10" o:spid="_x0000_s1026" style="position:absolute;margin-left:159.55pt;margin-top:.35pt;width:12.75pt;height:9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fGJAIAAD8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"/>
                </w:pict>
              </mc:Fallback>
            </mc:AlternateContent>
          </w:r>
        </w:p>
      </w:tc>
      <w:tc>
        <w:tcPr>
          <w:tcW w:w="3184" w:type="dxa"/>
          <w:vMerge/>
          <w:vAlign w:val="center"/>
        </w:tcPr>
        <w:p w14:paraId="202FC099" w14:textId="77777777" w:rsidR="00DE4181" w:rsidRPr="00C25097" w:rsidRDefault="00DE4181" w:rsidP="00DE4181">
          <w:pPr>
            <w:keepNext/>
            <w:numPr>
              <w:ilvl w:val="5"/>
              <w:numId w:val="0"/>
            </w:numPr>
            <w:ind w:left="1152" w:hanging="1152"/>
            <w:jc w:val="center"/>
            <w:outlineLvl w:val="5"/>
            <w:rPr>
              <w:rFonts w:ascii="Arial" w:hAnsi="Arial" w:cs="Arial"/>
              <w:b/>
              <w:sz w:val="20"/>
              <w:szCs w:val="20"/>
              <w:lang w:val="es-ES" w:eastAsia="es-ES"/>
            </w:rPr>
          </w:pPr>
        </w:p>
      </w:tc>
    </w:tr>
  </w:tbl>
  <w:p w14:paraId="31C13E75" w14:textId="77777777" w:rsidR="00DE4181" w:rsidRDefault="00DE418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A6DDF"/>
    <w:multiLevelType w:val="hybridMultilevel"/>
    <w:tmpl w:val="93E2AF32"/>
    <w:lvl w:ilvl="0" w:tplc="5C163BDE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36C0C"/>
    <w:multiLevelType w:val="hybridMultilevel"/>
    <w:tmpl w:val="A022BD20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8370DE"/>
    <w:multiLevelType w:val="hybridMultilevel"/>
    <w:tmpl w:val="8828E81E"/>
    <w:lvl w:ilvl="0" w:tplc="300A000F">
      <w:start w:val="1"/>
      <w:numFmt w:val="decimal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2DE03B5"/>
    <w:multiLevelType w:val="multilevel"/>
    <w:tmpl w:val="3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4CB2771"/>
    <w:multiLevelType w:val="hybridMultilevel"/>
    <w:tmpl w:val="8E3AA992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A942ED1"/>
    <w:multiLevelType w:val="hybridMultilevel"/>
    <w:tmpl w:val="5BA8BCFA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150033"/>
    <w:multiLevelType w:val="hybridMultilevel"/>
    <w:tmpl w:val="E766D95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A97FA8"/>
    <w:multiLevelType w:val="hybridMultilevel"/>
    <w:tmpl w:val="0FEC40F4"/>
    <w:lvl w:ilvl="0" w:tplc="5C163BDE">
      <w:start w:val="1"/>
      <w:numFmt w:val="decimal"/>
      <w:lvlText w:val="%1."/>
      <w:lvlJc w:val="left"/>
      <w:pPr>
        <w:ind w:left="1494" w:hanging="360"/>
      </w:pPr>
      <w:rPr>
        <w:color w:val="auto"/>
      </w:rPr>
    </w:lvl>
    <w:lvl w:ilvl="1" w:tplc="300A0019">
      <w:start w:val="1"/>
      <w:numFmt w:val="lowerLetter"/>
      <w:lvlText w:val="%2."/>
      <w:lvlJc w:val="left"/>
      <w:pPr>
        <w:ind w:left="2160" w:hanging="360"/>
      </w:pPr>
    </w:lvl>
    <w:lvl w:ilvl="2" w:tplc="300A001B">
      <w:start w:val="1"/>
      <w:numFmt w:val="lowerRoman"/>
      <w:lvlText w:val="%3."/>
      <w:lvlJc w:val="right"/>
      <w:pPr>
        <w:ind w:left="2880" w:hanging="180"/>
      </w:pPr>
    </w:lvl>
    <w:lvl w:ilvl="3" w:tplc="300A000F">
      <w:start w:val="1"/>
      <w:numFmt w:val="decimal"/>
      <w:lvlText w:val="%4."/>
      <w:lvlJc w:val="left"/>
      <w:pPr>
        <w:ind w:left="3600" w:hanging="360"/>
      </w:pPr>
    </w:lvl>
    <w:lvl w:ilvl="4" w:tplc="300A0019">
      <w:start w:val="1"/>
      <w:numFmt w:val="lowerLetter"/>
      <w:lvlText w:val="%5."/>
      <w:lvlJc w:val="left"/>
      <w:pPr>
        <w:ind w:left="4320" w:hanging="360"/>
      </w:pPr>
    </w:lvl>
    <w:lvl w:ilvl="5" w:tplc="300A001B">
      <w:start w:val="1"/>
      <w:numFmt w:val="lowerRoman"/>
      <w:lvlText w:val="%6."/>
      <w:lvlJc w:val="right"/>
      <w:pPr>
        <w:ind w:left="5040" w:hanging="180"/>
      </w:pPr>
    </w:lvl>
    <w:lvl w:ilvl="6" w:tplc="300A000F">
      <w:start w:val="1"/>
      <w:numFmt w:val="decimal"/>
      <w:lvlText w:val="%7."/>
      <w:lvlJc w:val="left"/>
      <w:pPr>
        <w:ind w:left="5760" w:hanging="360"/>
      </w:pPr>
    </w:lvl>
    <w:lvl w:ilvl="7" w:tplc="300A0019">
      <w:start w:val="1"/>
      <w:numFmt w:val="lowerLetter"/>
      <w:lvlText w:val="%8."/>
      <w:lvlJc w:val="left"/>
      <w:pPr>
        <w:ind w:left="6480" w:hanging="360"/>
      </w:pPr>
    </w:lvl>
    <w:lvl w:ilvl="8" w:tplc="300A001B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2B31263"/>
    <w:multiLevelType w:val="hybridMultilevel"/>
    <w:tmpl w:val="6EB6BF2C"/>
    <w:lvl w:ilvl="0" w:tplc="3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453635C"/>
    <w:multiLevelType w:val="hybridMultilevel"/>
    <w:tmpl w:val="F9EC5E8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4"/>
  </w:num>
  <w:num w:numId="7">
    <w:abstractNumId w:val="9"/>
  </w:num>
  <w:num w:numId="8">
    <w:abstractNumId w:val="1"/>
  </w:num>
  <w:num w:numId="9">
    <w:abstractNumId w:val="8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695"/>
    <w:rsid w:val="00006FC6"/>
    <w:rsid w:val="000E53ED"/>
    <w:rsid w:val="000F08F5"/>
    <w:rsid w:val="001A3D6C"/>
    <w:rsid w:val="002C23F4"/>
    <w:rsid w:val="002C6045"/>
    <w:rsid w:val="00306695"/>
    <w:rsid w:val="00323273"/>
    <w:rsid w:val="003924E1"/>
    <w:rsid w:val="004652ED"/>
    <w:rsid w:val="004C3682"/>
    <w:rsid w:val="00512890"/>
    <w:rsid w:val="005710AB"/>
    <w:rsid w:val="00647D0B"/>
    <w:rsid w:val="00756514"/>
    <w:rsid w:val="0078707A"/>
    <w:rsid w:val="007B6ED1"/>
    <w:rsid w:val="009C0F81"/>
    <w:rsid w:val="00AC45D4"/>
    <w:rsid w:val="00B01805"/>
    <w:rsid w:val="00BA1284"/>
    <w:rsid w:val="00BB4EF7"/>
    <w:rsid w:val="00BE1FB4"/>
    <w:rsid w:val="00CD0840"/>
    <w:rsid w:val="00D8635C"/>
    <w:rsid w:val="00DA3953"/>
    <w:rsid w:val="00DE4181"/>
    <w:rsid w:val="00E67FBC"/>
    <w:rsid w:val="00FA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2D29A8E"/>
  <w15:docId w15:val="{307D51EE-7679-4466-88F0-89BCDC57C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0669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06695"/>
    <w:rPr>
      <w:rFonts w:ascii="Times New Roman" w:eastAsia="Times New Roman" w:hAnsi="Times New Roman" w:cs="Times New Roman"/>
      <w:sz w:val="20"/>
      <w:szCs w:val="20"/>
      <w:lang w:eastAsia="es-EC"/>
    </w:rPr>
  </w:style>
  <w:style w:type="paragraph" w:styleId="Prrafodelista">
    <w:name w:val="List Paragraph"/>
    <w:basedOn w:val="Normal"/>
    <w:uiPriority w:val="34"/>
    <w:qFormat/>
    <w:rsid w:val="00306695"/>
    <w:pPr>
      <w:ind w:left="720"/>
      <w:contextualSpacing/>
    </w:pPr>
  </w:style>
  <w:style w:type="paragraph" w:customStyle="1" w:styleId="Default">
    <w:name w:val="Default"/>
    <w:uiPriority w:val="99"/>
    <w:semiHidden/>
    <w:rsid w:val="003066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C"/>
    </w:rPr>
  </w:style>
  <w:style w:type="character" w:styleId="Refdecomentario">
    <w:name w:val="annotation reference"/>
    <w:basedOn w:val="Fuentedeprrafopredeter"/>
    <w:semiHidden/>
    <w:unhideWhenUsed/>
    <w:rsid w:val="00306695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669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6695"/>
    <w:rPr>
      <w:rFonts w:ascii="Segoe UI" w:eastAsia="Times New Roman" w:hAnsi="Segoe UI" w:cs="Segoe UI"/>
      <w:sz w:val="18"/>
      <w:szCs w:val="18"/>
      <w:lang w:eastAsia="es-EC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C0F8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C0F81"/>
    <w:rPr>
      <w:rFonts w:ascii="Times New Roman" w:eastAsia="Times New Roman" w:hAnsi="Times New Roman" w:cs="Times New Roman"/>
      <w:b/>
      <w:bCs/>
      <w:sz w:val="20"/>
      <w:szCs w:val="20"/>
      <w:lang w:eastAsia="es-EC"/>
    </w:rPr>
  </w:style>
  <w:style w:type="paragraph" w:styleId="Encabezado">
    <w:name w:val="header"/>
    <w:basedOn w:val="Normal"/>
    <w:link w:val="EncabezadoCar"/>
    <w:uiPriority w:val="99"/>
    <w:unhideWhenUsed/>
    <w:rsid w:val="00DE418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4181"/>
    <w:rPr>
      <w:rFonts w:ascii="Times New Roman" w:eastAsia="Times New Roman" w:hAnsi="Times New Roman" w:cs="Times New Roman"/>
      <w:sz w:val="24"/>
      <w:szCs w:val="24"/>
      <w:lang w:eastAsia="es-EC"/>
    </w:rPr>
  </w:style>
  <w:style w:type="paragraph" w:styleId="Piedepgina">
    <w:name w:val="footer"/>
    <w:basedOn w:val="Normal"/>
    <w:link w:val="PiedepginaCar"/>
    <w:uiPriority w:val="99"/>
    <w:unhideWhenUsed/>
    <w:rsid w:val="00DE418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4181"/>
    <w:rPr>
      <w:rFonts w:ascii="Times New Roman" w:eastAsia="Times New Roman" w:hAnsi="Times New Roman" w:cs="Times New Roman"/>
      <w:sz w:val="24"/>
      <w:szCs w:val="24"/>
      <w:lang w:eastAsia="es-EC"/>
    </w:rPr>
  </w:style>
  <w:style w:type="table" w:styleId="Tablaconcuadrcula">
    <w:name w:val="Table Grid"/>
    <w:basedOn w:val="Tablanormal"/>
    <w:uiPriority w:val="59"/>
    <w:rsid w:val="00DE41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9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1203</Words>
  <Characters>6621</Characters>
  <Application>Microsoft Office Word</Application>
  <DocSecurity>4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D. Jurídico</dc:creator>
  <cp:lastModifiedBy>Analista_Planif</cp:lastModifiedBy>
  <cp:revision>2</cp:revision>
  <dcterms:created xsi:type="dcterms:W3CDTF">2018-07-23T20:35:00Z</dcterms:created>
  <dcterms:modified xsi:type="dcterms:W3CDTF">2018-07-23T20:35:00Z</dcterms:modified>
</cp:coreProperties>
</file>