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3A12" w14:textId="43288E3E" w:rsidR="00326FAA" w:rsidRDefault="00326FAA" w:rsidP="00326FAA">
      <w:pPr>
        <w:jc w:val="center"/>
        <w:rPr>
          <w:rFonts w:ascii="Tahoma" w:hAnsi="Tahoma" w:cs="Tahoma"/>
          <w:b/>
          <w:bCs/>
          <w:sz w:val="20"/>
          <w:szCs w:val="20"/>
          <w:lang w:val="es-EC"/>
        </w:rPr>
      </w:pPr>
      <w:r w:rsidRPr="00326FAA">
        <w:rPr>
          <w:rFonts w:ascii="Tahoma" w:hAnsi="Tahoma" w:cs="Tahoma"/>
          <w:b/>
          <w:bCs/>
          <w:sz w:val="20"/>
          <w:szCs w:val="20"/>
          <w:lang w:val="es-EC"/>
        </w:rPr>
        <w:t>ESPECIFICACIONES TÉCNICAS</w:t>
      </w:r>
    </w:p>
    <w:p w14:paraId="571A6B40" w14:textId="125AD390" w:rsidR="002F7711" w:rsidRPr="00326FAA" w:rsidRDefault="002F7711" w:rsidP="002F7711">
      <w:pPr>
        <w:jc w:val="right"/>
        <w:rPr>
          <w:rFonts w:ascii="Tahoma" w:hAnsi="Tahoma" w:cs="Tahoma"/>
          <w:b/>
          <w:bCs/>
          <w:sz w:val="20"/>
          <w:szCs w:val="20"/>
          <w:lang w:val="es-EC"/>
        </w:rPr>
      </w:pPr>
      <w:r>
        <w:rPr>
          <w:rFonts w:ascii="Tahoma" w:hAnsi="Tahoma" w:cs="Tahoma"/>
          <w:b/>
          <w:bCs/>
          <w:sz w:val="20"/>
          <w:szCs w:val="20"/>
          <w:lang w:val="es-EC"/>
        </w:rPr>
        <w:t>Trazabilidad:</w:t>
      </w:r>
    </w:p>
    <w:p w14:paraId="1A01E32E"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1. Antecedentes y vinculación con la necesidad</w:t>
      </w:r>
    </w:p>
    <w:p w14:paraId="557525D0" w14:textId="2A035D21"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[Referir informe de necesidad aprobado, situación a atender y objetivo institucional. Evitar copiar íntegramente el informe.]</w:t>
      </w:r>
    </w:p>
    <w:p w14:paraId="0A388F0E"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2. Objeto, alcance y clasificación</w:t>
      </w:r>
    </w:p>
    <w:p w14:paraId="36D4D48B"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[Definir objeto claro, alcance, destino y justificación del CPC. Evitar agrupar ítems sin vinculación razonable.]</w:t>
      </w:r>
    </w:p>
    <w:p w14:paraId="1DEAA4C7"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3. Detalle de bienes requeridos</w:t>
      </w:r>
    </w:p>
    <w:p w14:paraId="4DC01652" w14:textId="3F37A83D"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[Describir cada ítem individualmente, con unidades, cantidades y requisitos verificables.</w:t>
      </w:r>
    </w:p>
    <w:tbl>
      <w:tblPr>
        <w:tblStyle w:val="Sombreadoclaro-nfasis1"/>
        <w:tblW w:w="0" w:type="auto"/>
        <w:jc w:val="center"/>
        <w:tblLook w:val="04A0" w:firstRow="1" w:lastRow="0" w:firstColumn="1" w:lastColumn="0" w:noHBand="0" w:noVBand="1"/>
      </w:tblPr>
      <w:tblGrid>
        <w:gridCol w:w="1958"/>
        <w:gridCol w:w="1958"/>
        <w:gridCol w:w="1958"/>
        <w:gridCol w:w="1958"/>
        <w:gridCol w:w="1958"/>
      </w:tblGrid>
      <w:tr w:rsidR="00FE4495" w:rsidRPr="00326FAA" w14:paraId="76B0E928" w14:textId="77777777" w:rsidTr="00E25D9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8" w:type="dxa"/>
          </w:tcPr>
          <w:p w14:paraId="5D253230" w14:textId="77777777" w:rsidR="00E25D99" w:rsidRPr="00326FAA" w:rsidRDefault="00D649D1" w:rsidP="00FE4495">
            <w:pPr>
              <w:jc w:val="both"/>
              <w:rPr>
                <w:rFonts w:ascii="Tahoma" w:hAnsi="Tahoma" w:cs="Tahoma"/>
                <w:color w:val="auto"/>
                <w:sz w:val="20"/>
                <w:szCs w:val="20"/>
                <w:lang w:val="es-EC"/>
              </w:rPr>
            </w:pPr>
            <w:r w:rsidRPr="00326FAA">
              <w:rPr>
                <w:rFonts w:ascii="Tahoma" w:hAnsi="Tahoma" w:cs="Tahoma"/>
                <w:color w:val="auto"/>
                <w:sz w:val="20"/>
                <w:szCs w:val="20"/>
                <w:lang w:val="es-EC"/>
              </w:rPr>
              <w:t>Ítem</w:t>
            </w:r>
          </w:p>
        </w:tc>
        <w:tc>
          <w:tcPr>
            <w:tcW w:w="1958" w:type="dxa"/>
          </w:tcPr>
          <w:p w14:paraId="77033293" w14:textId="77777777" w:rsidR="00E25D99" w:rsidRPr="00326FAA" w:rsidRDefault="00D649D1" w:rsidP="00FE4495">
            <w:pPr>
              <w:jc w:val="both"/>
              <w:cnfStyle w:val="100000000000" w:firstRow="1" w:lastRow="0" w:firstColumn="0" w:lastColumn="0" w:oddVBand="0" w:evenVBand="0" w:oddHBand="0"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Descripción funcional / requisitos mínimos</w:t>
            </w:r>
          </w:p>
        </w:tc>
        <w:tc>
          <w:tcPr>
            <w:tcW w:w="1958" w:type="dxa"/>
          </w:tcPr>
          <w:p w14:paraId="50B83B1F" w14:textId="77777777" w:rsidR="00E25D99" w:rsidRPr="00326FAA" w:rsidRDefault="00D649D1" w:rsidP="00FE4495">
            <w:pPr>
              <w:jc w:val="both"/>
              <w:cnfStyle w:val="100000000000" w:firstRow="1" w:lastRow="0" w:firstColumn="0" w:lastColumn="0" w:oddVBand="0" w:evenVBand="0" w:oddHBand="0"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Unidad</w:t>
            </w:r>
          </w:p>
        </w:tc>
        <w:tc>
          <w:tcPr>
            <w:tcW w:w="1958" w:type="dxa"/>
          </w:tcPr>
          <w:p w14:paraId="46C0E8B5" w14:textId="77777777" w:rsidR="00E25D99" w:rsidRPr="00326FAA" w:rsidRDefault="00D649D1" w:rsidP="00FE4495">
            <w:pPr>
              <w:jc w:val="both"/>
              <w:cnfStyle w:val="100000000000" w:firstRow="1" w:lastRow="0" w:firstColumn="0" w:lastColumn="0" w:oddVBand="0" w:evenVBand="0" w:oddHBand="0"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Cantidad</w:t>
            </w:r>
          </w:p>
        </w:tc>
        <w:tc>
          <w:tcPr>
            <w:tcW w:w="1958" w:type="dxa"/>
          </w:tcPr>
          <w:p w14:paraId="71AC366D" w14:textId="77777777" w:rsidR="00E25D99" w:rsidRPr="00326FAA" w:rsidRDefault="00D649D1" w:rsidP="00FE4495">
            <w:pPr>
              <w:jc w:val="both"/>
              <w:cnfStyle w:val="100000000000" w:firstRow="1" w:lastRow="0" w:firstColumn="0" w:lastColumn="0" w:oddVBand="0" w:evenVBand="0" w:oddHBand="0"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CPC</w:t>
            </w:r>
          </w:p>
        </w:tc>
      </w:tr>
      <w:tr w:rsidR="00FE4495" w:rsidRPr="00326FAA" w14:paraId="1B833BD0" w14:textId="77777777" w:rsidTr="00E25D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8" w:type="dxa"/>
          </w:tcPr>
          <w:p w14:paraId="7BEDA395" w14:textId="77777777" w:rsidR="00E25D99" w:rsidRPr="00326FAA" w:rsidRDefault="00D649D1" w:rsidP="00FE4495">
            <w:pPr>
              <w:jc w:val="both"/>
              <w:rPr>
                <w:rFonts w:ascii="Tahoma" w:hAnsi="Tahoma" w:cs="Tahoma"/>
                <w:color w:val="auto"/>
                <w:sz w:val="20"/>
                <w:szCs w:val="20"/>
                <w:lang w:val="es-EC"/>
              </w:rPr>
            </w:pPr>
            <w:r w:rsidRPr="00326FAA">
              <w:rPr>
                <w:rFonts w:ascii="Tahoma" w:hAnsi="Tahoma" w:cs="Tahoma"/>
                <w:color w:val="auto"/>
                <w:sz w:val="20"/>
                <w:szCs w:val="20"/>
                <w:lang w:val="es-EC"/>
              </w:rPr>
              <w:t>1</w:t>
            </w:r>
          </w:p>
        </w:tc>
        <w:tc>
          <w:tcPr>
            <w:tcW w:w="1958" w:type="dxa"/>
          </w:tcPr>
          <w:p w14:paraId="66A9754D" w14:textId="77777777" w:rsidR="00E25D99" w:rsidRPr="00326FAA" w:rsidRDefault="00D649D1" w:rsidP="00FE4495">
            <w:pPr>
              <w:jc w:val="both"/>
              <w:cnfStyle w:val="000000100000" w:firstRow="0" w:lastRow="0" w:firstColumn="0" w:lastColumn="0" w:oddVBand="0" w:evenVBand="0" w:oddHBand="1"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[Capacidad, rendimiento, calidad, norma técnica, compatibilidad]</w:t>
            </w:r>
          </w:p>
        </w:tc>
        <w:tc>
          <w:tcPr>
            <w:tcW w:w="1958" w:type="dxa"/>
          </w:tcPr>
          <w:p w14:paraId="0E05F3A7" w14:textId="77777777" w:rsidR="00E25D99" w:rsidRPr="00326FAA" w:rsidRDefault="00D649D1" w:rsidP="00FE4495">
            <w:pPr>
              <w:jc w:val="both"/>
              <w:cnfStyle w:val="000000100000" w:firstRow="0" w:lastRow="0" w:firstColumn="0" w:lastColumn="0" w:oddVBand="0" w:evenVBand="0" w:oddHBand="1"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[u]</w:t>
            </w:r>
          </w:p>
        </w:tc>
        <w:tc>
          <w:tcPr>
            <w:tcW w:w="1958" w:type="dxa"/>
          </w:tcPr>
          <w:p w14:paraId="1560F7A1" w14:textId="77777777" w:rsidR="00E25D99" w:rsidRPr="00326FAA" w:rsidRDefault="00D649D1" w:rsidP="00FE4495">
            <w:pPr>
              <w:jc w:val="both"/>
              <w:cnfStyle w:val="000000100000" w:firstRow="0" w:lastRow="0" w:firstColumn="0" w:lastColumn="0" w:oddVBand="0" w:evenVBand="0" w:oddHBand="1"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w:t>
            </w:r>
          </w:p>
        </w:tc>
        <w:tc>
          <w:tcPr>
            <w:tcW w:w="1958" w:type="dxa"/>
          </w:tcPr>
          <w:p w14:paraId="4408AA8A" w14:textId="77777777" w:rsidR="00E25D99" w:rsidRPr="00326FAA" w:rsidRDefault="00D649D1" w:rsidP="00FE4495">
            <w:pPr>
              <w:jc w:val="both"/>
              <w:cnfStyle w:val="000000100000" w:firstRow="0" w:lastRow="0" w:firstColumn="0" w:lastColumn="0" w:oddVBand="0" w:evenVBand="0" w:oddHBand="1"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[código]</w:t>
            </w:r>
          </w:p>
        </w:tc>
      </w:tr>
      <w:tr w:rsidR="00FE4495" w:rsidRPr="00326FAA" w14:paraId="0583F086" w14:textId="77777777" w:rsidTr="00E25D99">
        <w:trPr>
          <w:jc w:val="center"/>
        </w:trPr>
        <w:tc>
          <w:tcPr>
            <w:cnfStyle w:val="001000000000" w:firstRow="0" w:lastRow="0" w:firstColumn="1" w:lastColumn="0" w:oddVBand="0" w:evenVBand="0" w:oddHBand="0" w:evenHBand="0" w:firstRowFirstColumn="0" w:firstRowLastColumn="0" w:lastRowFirstColumn="0" w:lastRowLastColumn="0"/>
            <w:tcW w:w="1958" w:type="dxa"/>
          </w:tcPr>
          <w:p w14:paraId="149A5F93" w14:textId="77777777" w:rsidR="00E25D99" w:rsidRPr="00326FAA" w:rsidRDefault="00D649D1" w:rsidP="00FE4495">
            <w:pPr>
              <w:jc w:val="both"/>
              <w:rPr>
                <w:rFonts w:ascii="Tahoma" w:hAnsi="Tahoma" w:cs="Tahoma"/>
                <w:color w:val="auto"/>
                <w:sz w:val="20"/>
                <w:szCs w:val="20"/>
                <w:lang w:val="es-EC"/>
              </w:rPr>
            </w:pPr>
            <w:r w:rsidRPr="00326FAA">
              <w:rPr>
                <w:rFonts w:ascii="Tahoma" w:hAnsi="Tahoma" w:cs="Tahoma"/>
                <w:color w:val="auto"/>
                <w:sz w:val="20"/>
                <w:szCs w:val="20"/>
                <w:lang w:val="es-EC"/>
              </w:rPr>
              <w:t>2</w:t>
            </w:r>
          </w:p>
        </w:tc>
        <w:tc>
          <w:tcPr>
            <w:tcW w:w="1958" w:type="dxa"/>
          </w:tcPr>
          <w:p w14:paraId="0151490C" w14:textId="77777777" w:rsidR="00E25D99" w:rsidRPr="00326FAA" w:rsidRDefault="00D649D1" w:rsidP="00FE4495">
            <w:pPr>
              <w:jc w:val="both"/>
              <w:cnfStyle w:val="000000000000" w:firstRow="0" w:lastRow="0" w:firstColumn="0" w:lastColumn="0" w:oddVBand="0" w:evenVBand="0" w:oddHBand="0"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[________]</w:t>
            </w:r>
          </w:p>
        </w:tc>
        <w:tc>
          <w:tcPr>
            <w:tcW w:w="1958" w:type="dxa"/>
          </w:tcPr>
          <w:p w14:paraId="266BFF24" w14:textId="77777777" w:rsidR="00E25D99" w:rsidRPr="00326FAA" w:rsidRDefault="00D649D1" w:rsidP="00FE4495">
            <w:pPr>
              <w:jc w:val="both"/>
              <w:cnfStyle w:val="000000000000" w:firstRow="0" w:lastRow="0" w:firstColumn="0" w:lastColumn="0" w:oddVBand="0" w:evenVBand="0" w:oddHBand="0"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[u]</w:t>
            </w:r>
          </w:p>
        </w:tc>
        <w:tc>
          <w:tcPr>
            <w:tcW w:w="1958" w:type="dxa"/>
          </w:tcPr>
          <w:p w14:paraId="1827E13F" w14:textId="77777777" w:rsidR="00E25D99" w:rsidRPr="00326FAA" w:rsidRDefault="00D649D1" w:rsidP="00FE4495">
            <w:pPr>
              <w:jc w:val="both"/>
              <w:cnfStyle w:val="000000000000" w:firstRow="0" w:lastRow="0" w:firstColumn="0" w:lastColumn="0" w:oddVBand="0" w:evenVBand="0" w:oddHBand="0"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w:t>
            </w:r>
          </w:p>
        </w:tc>
        <w:tc>
          <w:tcPr>
            <w:tcW w:w="1958" w:type="dxa"/>
          </w:tcPr>
          <w:p w14:paraId="4CF8F2B5" w14:textId="77777777" w:rsidR="00E25D99" w:rsidRPr="00326FAA" w:rsidRDefault="00D649D1" w:rsidP="00FE4495">
            <w:pPr>
              <w:jc w:val="both"/>
              <w:cnfStyle w:val="000000000000" w:firstRow="0" w:lastRow="0" w:firstColumn="0" w:lastColumn="0" w:oddVBand="0" w:evenVBand="0" w:oddHBand="0" w:evenHBand="0" w:firstRowFirstColumn="0" w:firstRowLastColumn="0" w:lastRowFirstColumn="0" w:lastRowLastColumn="0"/>
              <w:rPr>
                <w:rFonts w:ascii="Tahoma" w:hAnsi="Tahoma" w:cs="Tahoma"/>
                <w:color w:val="auto"/>
                <w:sz w:val="20"/>
                <w:szCs w:val="20"/>
                <w:lang w:val="es-EC"/>
              </w:rPr>
            </w:pPr>
            <w:r w:rsidRPr="00326FAA">
              <w:rPr>
                <w:rFonts w:ascii="Tahoma" w:hAnsi="Tahoma" w:cs="Tahoma"/>
                <w:color w:val="auto"/>
                <w:sz w:val="20"/>
                <w:szCs w:val="20"/>
                <w:lang w:val="es-EC"/>
              </w:rPr>
              <w:t>[código]</w:t>
            </w:r>
          </w:p>
        </w:tc>
      </w:tr>
    </w:tbl>
    <w:p w14:paraId="31AEE98C" w14:textId="77777777" w:rsidR="00E25D99" w:rsidRPr="00326FAA" w:rsidRDefault="00E25D99" w:rsidP="00FE4495">
      <w:pPr>
        <w:jc w:val="both"/>
        <w:rPr>
          <w:rFonts w:ascii="Tahoma" w:hAnsi="Tahoma" w:cs="Tahoma"/>
          <w:sz w:val="20"/>
          <w:szCs w:val="20"/>
          <w:lang w:val="es-EC"/>
        </w:rPr>
      </w:pPr>
    </w:p>
    <w:p w14:paraId="1E42616D"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4. Plazo, entregas y lugar</w:t>
      </w:r>
    </w:p>
    <w:p w14:paraId="73A04399"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Plazo total: [__] días desde [hito]. Entregas parciales: [detalle/no aplica]. Lugar y horario de entrega: [__].</w:t>
      </w:r>
    </w:p>
    <w:p w14:paraId="664E3CD7"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5. Verificación, recepción y garantías</w:t>
      </w:r>
    </w:p>
    <w:p w14:paraId="6280F279"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[Pruebas, fichas técnicas, certificados pertinentes, criterios objetivos de aceptación, garantías técnicas cuando apliquen y soporte posventa.]</w:t>
      </w:r>
    </w:p>
    <w:p w14:paraId="07E2FB28"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6. Forma y condiciones de pago</w:t>
      </w:r>
    </w:p>
    <w:p w14:paraId="61CC2972" w14:textId="77777777" w:rsidR="000007F1" w:rsidRPr="00326FAA" w:rsidRDefault="000007F1" w:rsidP="00FE4495">
      <w:pPr>
        <w:jc w:val="both"/>
        <w:rPr>
          <w:rFonts w:ascii="Tahoma" w:hAnsi="Tahoma" w:cs="Tahoma"/>
          <w:sz w:val="20"/>
          <w:szCs w:val="20"/>
          <w:lang w:val="es-EC"/>
        </w:rPr>
      </w:pPr>
      <w:r w:rsidRPr="00326FAA">
        <w:rPr>
          <w:rFonts w:ascii="Tahoma" w:hAnsi="Tahoma" w:cs="Tahoma"/>
          <w:sz w:val="20"/>
          <w:szCs w:val="20"/>
          <w:lang w:val="es-EC"/>
        </w:rPr>
        <w:t>La entidad contratante realizará el pago del 100 % del valor contractual, contra entrega total de los bienes objeto de la contratación, previa verificación del cumplimiento de las especificaciones técnicas y demás obligaciones contractuales.</w:t>
      </w:r>
    </w:p>
    <w:p w14:paraId="705EDF44" w14:textId="77777777" w:rsidR="000007F1" w:rsidRPr="00326FAA" w:rsidRDefault="000007F1" w:rsidP="00FE4495">
      <w:pPr>
        <w:jc w:val="both"/>
        <w:rPr>
          <w:rFonts w:ascii="Tahoma" w:hAnsi="Tahoma" w:cs="Tahoma"/>
          <w:sz w:val="20"/>
          <w:szCs w:val="20"/>
          <w:lang w:val="es-EC"/>
        </w:rPr>
      </w:pPr>
      <w:r w:rsidRPr="00326FAA">
        <w:rPr>
          <w:rFonts w:ascii="Tahoma" w:hAnsi="Tahoma" w:cs="Tahoma"/>
          <w:sz w:val="20"/>
          <w:szCs w:val="20"/>
          <w:lang w:val="es-EC"/>
        </w:rPr>
        <w:t>Para efectuar el pago se requerirá:</w:t>
      </w:r>
    </w:p>
    <w:p w14:paraId="02A82047" w14:textId="77777777" w:rsidR="000007F1" w:rsidRPr="00326FAA" w:rsidRDefault="000007F1" w:rsidP="00FE4495">
      <w:pPr>
        <w:pStyle w:val="Prrafodelista"/>
        <w:numPr>
          <w:ilvl w:val="0"/>
          <w:numId w:val="11"/>
        </w:numPr>
        <w:jc w:val="both"/>
        <w:rPr>
          <w:rFonts w:ascii="Tahoma" w:hAnsi="Tahoma" w:cs="Tahoma"/>
          <w:sz w:val="20"/>
          <w:szCs w:val="20"/>
          <w:lang w:val="es-EC"/>
        </w:rPr>
      </w:pPr>
      <w:r w:rsidRPr="00326FAA">
        <w:rPr>
          <w:rFonts w:ascii="Tahoma" w:hAnsi="Tahoma" w:cs="Tahoma"/>
          <w:sz w:val="20"/>
          <w:szCs w:val="20"/>
          <w:lang w:val="es-EC"/>
        </w:rPr>
        <w:t>Informe favorable del administrador del contrato, que certifique el cumplimiento de las obligaciones contractuales.</w:t>
      </w:r>
    </w:p>
    <w:p w14:paraId="06EAFEEA" w14:textId="77777777" w:rsidR="000007F1" w:rsidRPr="00326FAA" w:rsidRDefault="000007F1" w:rsidP="00FE4495">
      <w:pPr>
        <w:pStyle w:val="Prrafodelista"/>
        <w:numPr>
          <w:ilvl w:val="0"/>
          <w:numId w:val="11"/>
        </w:numPr>
        <w:jc w:val="both"/>
        <w:rPr>
          <w:rFonts w:ascii="Tahoma" w:hAnsi="Tahoma" w:cs="Tahoma"/>
          <w:sz w:val="20"/>
          <w:szCs w:val="20"/>
          <w:lang w:val="es-EC"/>
        </w:rPr>
      </w:pPr>
      <w:r w:rsidRPr="00326FAA">
        <w:rPr>
          <w:rFonts w:ascii="Tahoma" w:hAnsi="Tahoma" w:cs="Tahoma"/>
          <w:sz w:val="20"/>
          <w:szCs w:val="20"/>
          <w:lang w:val="es-EC"/>
        </w:rPr>
        <w:t>Acta de entrega-recepción debidamente suscrita, conforme a la normativa aplicable.</w:t>
      </w:r>
    </w:p>
    <w:p w14:paraId="0042168E" w14:textId="77777777" w:rsidR="000007F1" w:rsidRPr="00326FAA" w:rsidRDefault="000007F1" w:rsidP="00FE4495">
      <w:pPr>
        <w:pStyle w:val="Prrafodelista"/>
        <w:numPr>
          <w:ilvl w:val="0"/>
          <w:numId w:val="11"/>
        </w:numPr>
        <w:jc w:val="both"/>
        <w:rPr>
          <w:rFonts w:ascii="Tahoma" w:hAnsi="Tahoma" w:cs="Tahoma"/>
          <w:sz w:val="20"/>
          <w:szCs w:val="20"/>
          <w:lang w:val="es-EC"/>
        </w:rPr>
      </w:pPr>
      <w:r w:rsidRPr="00326FAA">
        <w:rPr>
          <w:rFonts w:ascii="Tahoma" w:hAnsi="Tahoma" w:cs="Tahoma"/>
          <w:sz w:val="20"/>
          <w:szCs w:val="20"/>
          <w:lang w:val="es-EC"/>
        </w:rPr>
        <w:lastRenderedPageBreak/>
        <w:t>Factura correspondiente, emitida de conformidad con la normativa tributaria vigente.</w:t>
      </w:r>
    </w:p>
    <w:p w14:paraId="3E3A78E3"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7. Multas</w:t>
      </w:r>
    </w:p>
    <w:p w14:paraId="7B96C268"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7.1. Multas por retraso injustificado</w:t>
      </w:r>
    </w:p>
    <w:p w14:paraId="61ACFF33"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Por cada día de retraso injustificado en el cumplimiento de las obligaciones contractuales se aplicará una multa equivalente al uno por mil (1 × 1.000) del valor de la obligación incumplida, conforme al artículo 375 del Reglamento General y a los pliegos.</w:t>
      </w:r>
    </w:p>
    <w:p w14:paraId="44C72543"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Cuando la obligación incumplida no pueda cuantificarse, podrá aplicarse el uno por mil (1 × 1.000) del monto del contrato, sin superar USD 500 diarios.</w:t>
      </w:r>
    </w:p>
    <w:p w14:paraId="541C9CFB" w14:textId="1BB96A81" w:rsidR="00E25D99"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7.</w:t>
      </w:r>
      <w:r w:rsidR="000007F1" w:rsidRPr="00326FAA">
        <w:rPr>
          <w:rFonts w:ascii="Tahoma" w:hAnsi="Tahoma" w:cs="Tahoma"/>
          <w:color w:val="auto"/>
          <w:sz w:val="20"/>
          <w:szCs w:val="20"/>
          <w:lang w:val="es-EC"/>
        </w:rPr>
        <w:t>2</w:t>
      </w:r>
      <w:r w:rsidRPr="00326FAA">
        <w:rPr>
          <w:rFonts w:ascii="Tahoma" w:hAnsi="Tahoma" w:cs="Tahoma"/>
          <w:color w:val="auto"/>
          <w:sz w:val="20"/>
          <w:szCs w:val="20"/>
          <w:lang w:val="es-EC"/>
        </w:rPr>
        <w:t xml:space="preserve"> Procedimiento para la imposición de multas</w:t>
      </w:r>
    </w:p>
    <w:p w14:paraId="68BF1DA0"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El administrador del contrato emitirá informe motivado dentro del término máximo de siete (7) días desde el hecho que motiva el incumplimiento; notificará al contratista, quien tendrá cinco (5) días término para ejercer su defensa. Vencido ese término, el administrador resolverá mediante acto administrativo motivado, que notificará dentro de los siete (7) días término siguientes. La multa se descontará del pago correspondiente una vez observado el debido procedimiento.</w:t>
      </w:r>
    </w:p>
    <w:p w14:paraId="06E0782B"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No se aplicarán multas en caso de fuerza mayor o caso fortuito debidamente comprobado y aceptado por la entidad contratante, conforme al artículo 376 y las disposiciones aplicables.</w:t>
      </w:r>
    </w:p>
    <w:p w14:paraId="21FABE08"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8. Obligaciones de las partes</w:t>
      </w:r>
    </w:p>
    <w:p w14:paraId="2B58F85F"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[Detallar obligaciones verificables del contratista y de la entidad, así como las responsabilidades de coordinación, entrega, administración y recepción].</w:t>
      </w:r>
    </w:p>
    <w:p w14:paraId="0F3D2896"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9. Mejor valor por dinero y estrategia</w:t>
      </w:r>
    </w:p>
    <w:p w14:paraId="384AAE53" w14:textId="77777777" w:rsidR="00E25D99" w:rsidRPr="00326FAA" w:rsidRDefault="00D649D1" w:rsidP="00FE4495">
      <w:pPr>
        <w:jc w:val="both"/>
        <w:rPr>
          <w:rFonts w:ascii="Tahoma" w:hAnsi="Tahoma" w:cs="Tahoma"/>
          <w:sz w:val="20"/>
          <w:szCs w:val="20"/>
          <w:lang w:val="es-EC"/>
        </w:rPr>
      </w:pPr>
      <w:r w:rsidRPr="00326FAA">
        <w:rPr>
          <w:rFonts w:ascii="Tahoma" w:hAnsi="Tahoma" w:cs="Tahoma"/>
          <w:sz w:val="20"/>
          <w:szCs w:val="20"/>
          <w:lang w:val="es-EC"/>
        </w:rPr>
        <w:t>[Conectar con el informe de necesidad: estandarización, competencia, relevancia del precio, vida útil, garantía, mantenimiento y desempeño. Justificar estrategia y procedimiento, sin imponer condiciones discriminatorias.]</w:t>
      </w:r>
    </w:p>
    <w:p w14:paraId="240E89F5" w14:textId="37A10D38" w:rsidR="00E25D99"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10. Parámetros de evaluación y calificación</w:t>
      </w:r>
    </w:p>
    <w:p w14:paraId="3884E474" w14:textId="5D3CF813" w:rsidR="00F5023D" w:rsidRDefault="00F5023D" w:rsidP="00F5023D">
      <w:pPr>
        <w:rPr>
          <w:lang w:val="es-EC"/>
        </w:rPr>
      </w:pPr>
    </w:p>
    <w:p w14:paraId="0705EB1D" w14:textId="4C7C1E59" w:rsidR="00F5023D" w:rsidRPr="00F5023D" w:rsidRDefault="00F5023D" w:rsidP="00F5023D">
      <w:pPr>
        <w:rPr>
          <w:rFonts w:ascii="Tahoma" w:hAnsi="Tahoma" w:cs="Tahoma"/>
          <w:b/>
          <w:bCs/>
          <w:sz w:val="20"/>
          <w:szCs w:val="20"/>
          <w:lang w:val="es-EC"/>
        </w:rPr>
      </w:pPr>
      <w:r w:rsidRPr="00F5023D">
        <w:rPr>
          <w:rFonts w:ascii="Tahoma" w:hAnsi="Tahoma" w:cs="Tahoma"/>
          <w:b/>
          <w:bCs/>
          <w:sz w:val="20"/>
          <w:szCs w:val="20"/>
          <w:lang w:val="es-EC"/>
        </w:rPr>
        <w:t xml:space="preserve">Licitación </w:t>
      </w:r>
    </w:p>
    <w:tbl>
      <w:tblPr>
        <w:tblStyle w:val="Tablaconcuadrcula"/>
        <w:tblW w:w="5000" w:type="pct"/>
        <w:tblLook w:val="04A0" w:firstRow="1" w:lastRow="0" w:firstColumn="1" w:lastColumn="0" w:noHBand="0" w:noVBand="1"/>
      </w:tblPr>
      <w:tblGrid>
        <w:gridCol w:w="1970"/>
        <w:gridCol w:w="4808"/>
        <w:gridCol w:w="3004"/>
      </w:tblGrid>
      <w:tr w:rsidR="00F5023D" w:rsidRPr="00F5023D" w14:paraId="1ED10CD0" w14:textId="77777777" w:rsidTr="00F5023D">
        <w:trPr>
          <w:trHeight w:val="20"/>
        </w:trPr>
        <w:tc>
          <w:tcPr>
            <w:tcW w:w="1173" w:type="pct"/>
            <w:noWrap/>
            <w:hideMark/>
          </w:tcPr>
          <w:p w14:paraId="1C72E90E" w14:textId="77777777" w:rsidR="00F5023D" w:rsidRPr="00F5023D" w:rsidRDefault="00F5023D" w:rsidP="00F5023D">
            <w:pPr>
              <w:spacing w:after="0"/>
              <w:jc w:val="center"/>
              <w:rPr>
                <w:rFonts w:ascii="Arial" w:eastAsia="Times New Roman" w:hAnsi="Arial" w:cs="Arial"/>
                <w:b/>
                <w:bCs/>
                <w:sz w:val="22"/>
                <w:lang w:val="es-EC" w:eastAsia="es-EC"/>
              </w:rPr>
            </w:pPr>
            <w:r w:rsidRPr="00F5023D">
              <w:rPr>
                <w:rFonts w:ascii="Arial" w:eastAsia="Times New Roman" w:hAnsi="Arial" w:cs="Arial"/>
                <w:b/>
                <w:bCs/>
                <w:sz w:val="22"/>
                <w:lang w:val="es-EC" w:eastAsia="es-EC"/>
              </w:rPr>
              <w:t>Parámetro</w:t>
            </w:r>
          </w:p>
        </w:tc>
        <w:tc>
          <w:tcPr>
            <w:tcW w:w="2623" w:type="pct"/>
            <w:noWrap/>
            <w:hideMark/>
          </w:tcPr>
          <w:p w14:paraId="7F63772E" w14:textId="77777777" w:rsidR="00F5023D" w:rsidRPr="00F5023D" w:rsidRDefault="00F5023D" w:rsidP="00F5023D">
            <w:pPr>
              <w:spacing w:after="0"/>
              <w:jc w:val="center"/>
              <w:rPr>
                <w:rFonts w:ascii="Arial" w:eastAsia="Times New Roman" w:hAnsi="Arial" w:cs="Arial"/>
                <w:b/>
                <w:bCs/>
                <w:sz w:val="22"/>
                <w:lang w:val="es-EC" w:eastAsia="es-EC"/>
              </w:rPr>
            </w:pPr>
            <w:r w:rsidRPr="00F5023D">
              <w:rPr>
                <w:rFonts w:ascii="Arial" w:eastAsia="Times New Roman" w:hAnsi="Arial" w:cs="Arial"/>
                <w:b/>
                <w:bCs/>
                <w:sz w:val="22"/>
                <w:lang w:val="es-EC" w:eastAsia="es-EC"/>
              </w:rPr>
              <w:t>Qué debe evaluarse o establecerse</w:t>
            </w:r>
          </w:p>
        </w:tc>
        <w:tc>
          <w:tcPr>
            <w:tcW w:w="1204" w:type="pct"/>
            <w:noWrap/>
            <w:hideMark/>
          </w:tcPr>
          <w:p w14:paraId="25E00949" w14:textId="77777777" w:rsidR="00F5023D" w:rsidRPr="00F5023D" w:rsidRDefault="00F5023D" w:rsidP="00F5023D">
            <w:pPr>
              <w:spacing w:after="0"/>
              <w:jc w:val="center"/>
              <w:rPr>
                <w:rFonts w:ascii="Arial" w:eastAsia="Times New Roman" w:hAnsi="Arial" w:cs="Arial"/>
                <w:b/>
                <w:bCs/>
                <w:sz w:val="22"/>
                <w:lang w:val="es-EC" w:eastAsia="es-EC"/>
              </w:rPr>
            </w:pPr>
            <w:r w:rsidRPr="00F5023D">
              <w:rPr>
                <w:rFonts w:ascii="Arial" w:eastAsia="Times New Roman" w:hAnsi="Arial" w:cs="Arial"/>
                <w:b/>
                <w:bCs/>
                <w:sz w:val="22"/>
                <w:lang w:val="es-EC" w:eastAsia="es-EC"/>
              </w:rPr>
              <w:t>Base legal del Reglamento</w:t>
            </w:r>
          </w:p>
        </w:tc>
      </w:tr>
      <w:tr w:rsidR="00F5023D" w:rsidRPr="00F5023D" w14:paraId="3E534269" w14:textId="77777777" w:rsidTr="00F5023D">
        <w:trPr>
          <w:trHeight w:val="20"/>
        </w:trPr>
        <w:tc>
          <w:tcPr>
            <w:tcW w:w="1173" w:type="pct"/>
            <w:hideMark/>
          </w:tcPr>
          <w:p w14:paraId="54E5527D"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Cumplimiento de especificaciones técnicas</w:t>
            </w:r>
          </w:p>
        </w:tc>
        <w:tc>
          <w:tcPr>
            <w:tcW w:w="2623" w:type="pct"/>
            <w:hideMark/>
          </w:tcPr>
          <w:p w14:paraId="7C9A77D3"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Características, requisitos funcionales, calidad, capacidad, rendimiento y normas aplicables. Para bienes: Cumple / No cumple. En obras, observar el art. 108.</w:t>
            </w:r>
          </w:p>
        </w:tc>
        <w:tc>
          <w:tcPr>
            <w:tcW w:w="1204" w:type="pct"/>
            <w:hideMark/>
          </w:tcPr>
          <w:p w14:paraId="4CF3C181"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Arts. 77, 105, 107 y 108.</w:t>
            </w:r>
          </w:p>
        </w:tc>
      </w:tr>
      <w:tr w:rsidR="00F5023D" w:rsidRPr="00F5023D" w14:paraId="006236E6" w14:textId="77777777" w:rsidTr="00F5023D">
        <w:trPr>
          <w:trHeight w:val="20"/>
        </w:trPr>
        <w:tc>
          <w:tcPr>
            <w:tcW w:w="1173" w:type="pct"/>
            <w:hideMark/>
          </w:tcPr>
          <w:p w14:paraId="1B279A1A"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Experiencia general y específica mínima</w:t>
            </w:r>
          </w:p>
        </w:tc>
        <w:tc>
          <w:tcPr>
            <w:tcW w:w="2623" w:type="pct"/>
            <w:hideMark/>
          </w:tcPr>
          <w:p w14:paraId="594F96C2"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Definir la experiencia relacionada con el objeto, dimensionada conforme al presupuesto y las reglas aplicables, en concordancia con el modelo obligatorio y el pliego.</w:t>
            </w:r>
          </w:p>
        </w:tc>
        <w:tc>
          <w:tcPr>
            <w:tcW w:w="1204" w:type="pct"/>
            <w:hideMark/>
          </w:tcPr>
          <w:p w14:paraId="5D577CF9"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Arts. 84 y 106.</w:t>
            </w:r>
          </w:p>
        </w:tc>
      </w:tr>
      <w:tr w:rsidR="00F5023D" w:rsidRPr="00F5023D" w14:paraId="3B09D8DE" w14:textId="77777777" w:rsidTr="00F5023D">
        <w:trPr>
          <w:trHeight w:val="20"/>
        </w:trPr>
        <w:tc>
          <w:tcPr>
            <w:tcW w:w="1173" w:type="pct"/>
            <w:hideMark/>
          </w:tcPr>
          <w:p w14:paraId="52E0D23F"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lastRenderedPageBreak/>
              <w:t>Existencia legal y patrimonio</w:t>
            </w:r>
          </w:p>
        </w:tc>
        <w:tc>
          <w:tcPr>
            <w:tcW w:w="2623" w:type="pct"/>
            <w:hideMark/>
          </w:tcPr>
          <w:p w14:paraId="15EE99AD"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Aplicar las reglas de participación de personas jurídicas cuando correspondan. Distinguirlas de las características técnicas del bien y mantener coherencia con el pliego.</w:t>
            </w:r>
          </w:p>
        </w:tc>
        <w:tc>
          <w:tcPr>
            <w:tcW w:w="1204" w:type="pct"/>
            <w:hideMark/>
          </w:tcPr>
          <w:p w14:paraId="7D8A3B17"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Arts. 77 numeral 6 y 93.</w:t>
            </w:r>
          </w:p>
        </w:tc>
      </w:tr>
      <w:tr w:rsidR="00F5023D" w:rsidRPr="00F5023D" w14:paraId="30F0B6D8" w14:textId="77777777" w:rsidTr="00F5023D">
        <w:trPr>
          <w:trHeight w:val="20"/>
        </w:trPr>
        <w:tc>
          <w:tcPr>
            <w:tcW w:w="1173" w:type="pct"/>
            <w:hideMark/>
          </w:tcPr>
          <w:p w14:paraId="03D18BB4"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Oferta económica</w:t>
            </w:r>
          </w:p>
        </w:tc>
        <w:tc>
          <w:tcPr>
            <w:tcW w:w="2623" w:type="pct"/>
            <w:hideMark/>
          </w:tcPr>
          <w:p w14:paraId="18E91DB5"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Aplicar la metodología y fórmula del modelo obligatorio y del pliego. En obras, los APU se evalúan exclusivamente en el componente económico por puntaje.</w:t>
            </w:r>
          </w:p>
        </w:tc>
        <w:tc>
          <w:tcPr>
            <w:tcW w:w="1204" w:type="pct"/>
            <w:hideMark/>
          </w:tcPr>
          <w:p w14:paraId="42256DC3"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Arts. 108 y 265.</w:t>
            </w:r>
          </w:p>
        </w:tc>
      </w:tr>
      <w:tr w:rsidR="00F5023D" w:rsidRPr="00F5023D" w14:paraId="6240D3BB" w14:textId="77777777" w:rsidTr="00F5023D">
        <w:trPr>
          <w:trHeight w:val="20"/>
        </w:trPr>
        <w:tc>
          <w:tcPr>
            <w:tcW w:w="1173" w:type="pct"/>
            <w:hideMark/>
          </w:tcPr>
          <w:p w14:paraId="1DA3509E"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Mejores condiciones técnicas o económicas</w:t>
            </w:r>
          </w:p>
        </w:tc>
        <w:tc>
          <w:tcPr>
            <w:tcW w:w="2623" w:type="pct"/>
            <w:hideMark/>
          </w:tcPr>
          <w:p w14:paraId="1D587034"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Definir criterios por puntaje para comparar las ofertas que superaron los mínimos, conforme al modelo obligatorio y al pliego.</w:t>
            </w:r>
          </w:p>
        </w:tc>
        <w:tc>
          <w:tcPr>
            <w:tcW w:w="1204" w:type="pct"/>
            <w:hideMark/>
          </w:tcPr>
          <w:p w14:paraId="64D53435"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Arts. 84, 107 y 265.</w:t>
            </w:r>
          </w:p>
        </w:tc>
      </w:tr>
      <w:tr w:rsidR="00F5023D" w:rsidRPr="00F5023D" w14:paraId="35D70C8C" w14:textId="77777777" w:rsidTr="00F5023D">
        <w:trPr>
          <w:trHeight w:val="20"/>
        </w:trPr>
        <w:tc>
          <w:tcPr>
            <w:tcW w:w="1173" w:type="pct"/>
            <w:hideMark/>
          </w:tcPr>
          <w:p w14:paraId="6C079E26"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Calidad, sostenibilidad, innovación y costos del ciclo de vida</w:t>
            </w:r>
          </w:p>
        </w:tc>
        <w:tc>
          <w:tcPr>
            <w:tcW w:w="2623" w:type="pct"/>
            <w:hideMark/>
          </w:tcPr>
          <w:p w14:paraId="7B4B0340"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Incorporar criterios pertinentes y justificados para obtener mejor valor por dinero, indicando cómo se medirán.</w:t>
            </w:r>
          </w:p>
        </w:tc>
        <w:tc>
          <w:tcPr>
            <w:tcW w:w="1204" w:type="pct"/>
            <w:hideMark/>
          </w:tcPr>
          <w:p w14:paraId="07C89A60" w14:textId="3B7705D5"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 xml:space="preserve">Arts. 74 </w:t>
            </w:r>
          </w:p>
        </w:tc>
      </w:tr>
      <w:tr w:rsidR="00F5023D" w:rsidRPr="00F5023D" w14:paraId="34AD72D7" w14:textId="77777777" w:rsidTr="00F5023D">
        <w:trPr>
          <w:trHeight w:val="20"/>
        </w:trPr>
        <w:tc>
          <w:tcPr>
            <w:tcW w:w="1173" w:type="pct"/>
            <w:hideMark/>
          </w:tcPr>
          <w:p w14:paraId="16092F21"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Personal, equipo, metodología y cronograma en obras</w:t>
            </w:r>
          </w:p>
        </w:tc>
        <w:tc>
          <w:tcPr>
            <w:tcW w:w="2623" w:type="pct"/>
            <w:hideMark/>
          </w:tcPr>
          <w:p w14:paraId="7961B769"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Establecerlos como obligaciones de ejecución contractual. En la oferta basta el compromiso correspondiente. No se verifican ni evalúan en la fase precontractual ni de suscripción.</w:t>
            </w:r>
          </w:p>
        </w:tc>
        <w:tc>
          <w:tcPr>
            <w:tcW w:w="1204" w:type="pct"/>
            <w:hideMark/>
          </w:tcPr>
          <w:p w14:paraId="34C640B7"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 108.</w:t>
            </w:r>
          </w:p>
        </w:tc>
      </w:tr>
    </w:tbl>
    <w:p w14:paraId="30A3B2D2" w14:textId="6027994A" w:rsidR="00F5023D" w:rsidRDefault="00F5023D" w:rsidP="00F5023D">
      <w:pPr>
        <w:rPr>
          <w:lang w:val="es-EC"/>
        </w:rPr>
      </w:pPr>
    </w:p>
    <w:p w14:paraId="7C7AA379" w14:textId="5CE4C798" w:rsidR="00F5023D" w:rsidRPr="00F5023D" w:rsidRDefault="00F5023D" w:rsidP="00F5023D">
      <w:pPr>
        <w:rPr>
          <w:rFonts w:ascii="Tahoma" w:hAnsi="Tahoma" w:cs="Tahoma"/>
          <w:b/>
          <w:bCs/>
          <w:sz w:val="20"/>
          <w:szCs w:val="20"/>
          <w:lang w:val="es-EC"/>
        </w:rPr>
      </w:pPr>
      <w:r w:rsidRPr="00F5023D">
        <w:rPr>
          <w:rFonts w:ascii="Tahoma" w:hAnsi="Tahoma" w:cs="Tahoma"/>
          <w:b/>
          <w:bCs/>
          <w:sz w:val="20"/>
          <w:szCs w:val="20"/>
          <w:lang w:val="es-EC"/>
        </w:rPr>
        <w:t>Subasta Inversa</w:t>
      </w:r>
    </w:p>
    <w:tbl>
      <w:tblPr>
        <w:tblStyle w:val="Tablaconcuadrcula"/>
        <w:tblW w:w="0" w:type="auto"/>
        <w:tblLook w:val="04A0" w:firstRow="1" w:lastRow="0" w:firstColumn="1" w:lastColumn="0" w:noHBand="0" w:noVBand="1"/>
      </w:tblPr>
      <w:tblGrid>
        <w:gridCol w:w="1647"/>
        <w:gridCol w:w="5063"/>
        <w:gridCol w:w="3072"/>
      </w:tblGrid>
      <w:tr w:rsidR="00F5023D" w:rsidRPr="00F5023D" w14:paraId="08CEFF11" w14:textId="77777777" w:rsidTr="00F5023D">
        <w:trPr>
          <w:trHeight w:val="20"/>
        </w:trPr>
        <w:tc>
          <w:tcPr>
            <w:tcW w:w="0" w:type="auto"/>
            <w:noWrap/>
            <w:hideMark/>
          </w:tcPr>
          <w:p w14:paraId="37050FD0" w14:textId="77777777" w:rsidR="00F5023D" w:rsidRPr="00F5023D" w:rsidRDefault="00F5023D" w:rsidP="00F5023D">
            <w:pPr>
              <w:spacing w:after="0"/>
              <w:rPr>
                <w:rFonts w:ascii="Arial" w:eastAsia="Times New Roman" w:hAnsi="Arial" w:cs="Arial"/>
                <w:b/>
                <w:bCs/>
                <w:sz w:val="22"/>
                <w:lang w:val="es-EC" w:eastAsia="es-EC"/>
              </w:rPr>
            </w:pPr>
            <w:r w:rsidRPr="00F5023D">
              <w:rPr>
                <w:rFonts w:ascii="Arial" w:eastAsia="Times New Roman" w:hAnsi="Arial" w:cs="Arial"/>
                <w:b/>
                <w:bCs/>
                <w:sz w:val="22"/>
                <w:lang w:val="es-EC" w:eastAsia="es-EC"/>
              </w:rPr>
              <w:t>Parámetro</w:t>
            </w:r>
          </w:p>
        </w:tc>
        <w:tc>
          <w:tcPr>
            <w:tcW w:w="0" w:type="auto"/>
            <w:noWrap/>
            <w:hideMark/>
          </w:tcPr>
          <w:p w14:paraId="583C64FE" w14:textId="77777777" w:rsidR="00F5023D" w:rsidRPr="00F5023D" w:rsidRDefault="00F5023D" w:rsidP="00F5023D">
            <w:pPr>
              <w:spacing w:after="0"/>
              <w:rPr>
                <w:rFonts w:ascii="Arial" w:eastAsia="Times New Roman" w:hAnsi="Arial" w:cs="Arial"/>
                <w:b/>
                <w:bCs/>
                <w:sz w:val="22"/>
                <w:lang w:val="es-EC" w:eastAsia="es-EC"/>
              </w:rPr>
            </w:pPr>
            <w:r w:rsidRPr="00F5023D">
              <w:rPr>
                <w:rFonts w:ascii="Arial" w:eastAsia="Times New Roman" w:hAnsi="Arial" w:cs="Arial"/>
                <w:b/>
                <w:bCs/>
                <w:sz w:val="22"/>
                <w:lang w:val="es-EC" w:eastAsia="es-EC"/>
              </w:rPr>
              <w:t>Qué debe evaluarse o establecerse</w:t>
            </w:r>
          </w:p>
        </w:tc>
        <w:tc>
          <w:tcPr>
            <w:tcW w:w="0" w:type="auto"/>
            <w:noWrap/>
            <w:hideMark/>
          </w:tcPr>
          <w:p w14:paraId="1FFB5A96" w14:textId="77777777" w:rsidR="00F5023D" w:rsidRPr="00F5023D" w:rsidRDefault="00F5023D" w:rsidP="00F5023D">
            <w:pPr>
              <w:spacing w:after="0"/>
              <w:rPr>
                <w:rFonts w:ascii="Arial" w:eastAsia="Times New Roman" w:hAnsi="Arial" w:cs="Arial"/>
                <w:b/>
                <w:bCs/>
                <w:sz w:val="22"/>
                <w:lang w:val="es-EC" w:eastAsia="es-EC"/>
              </w:rPr>
            </w:pPr>
            <w:r w:rsidRPr="00F5023D">
              <w:rPr>
                <w:rFonts w:ascii="Arial" w:eastAsia="Times New Roman" w:hAnsi="Arial" w:cs="Arial"/>
                <w:b/>
                <w:bCs/>
                <w:sz w:val="22"/>
                <w:lang w:val="es-EC" w:eastAsia="es-EC"/>
              </w:rPr>
              <w:t>Base legal del Reglamento</w:t>
            </w:r>
          </w:p>
        </w:tc>
      </w:tr>
      <w:tr w:rsidR="00F5023D" w:rsidRPr="00F5023D" w14:paraId="0713124E" w14:textId="77777777" w:rsidTr="00F5023D">
        <w:trPr>
          <w:trHeight w:val="20"/>
        </w:trPr>
        <w:tc>
          <w:tcPr>
            <w:tcW w:w="0" w:type="auto"/>
            <w:hideMark/>
          </w:tcPr>
          <w:p w14:paraId="081BE919"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Cumplimiento técnico mínimo</w:t>
            </w:r>
          </w:p>
        </w:tc>
        <w:tc>
          <w:tcPr>
            <w:tcW w:w="0" w:type="auto"/>
            <w:hideMark/>
          </w:tcPr>
          <w:p w14:paraId="31CA2738"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Verificar características, capacidad, calidad, rendimiento y requisitos funcionales del bien estandarizado mediante Cumple / No cumple.</w:t>
            </w:r>
          </w:p>
        </w:tc>
        <w:tc>
          <w:tcPr>
            <w:tcW w:w="0" w:type="auto"/>
            <w:hideMark/>
          </w:tcPr>
          <w:p w14:paraId="334F5F98"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Arts. 77, 107 numeral 1 y 257.</w:t>
            </w:r>
          </w:p>
        </w:tc>
      </w:tr>
      <w:tr w:rsidR="00F5023D" w:rsidRPr="00F5023D" w14:paraId="68EF7C7E" w14:textId="77777777" w:rsidTr="00F5023D">
        <w:trPr>
          <w:trHeight w:val="20"/>
        </w:trPr>
        <w:tc>
          <w:tcPr>
            <w:tcW w:w="0" w:type="auto"/>
            <w:hideMark/>
          </w:tcPr>
          <w:p w14:paraId="01B1E3C7"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Normas y reglamentos técnicos</w:t>
            </w:r>
          </w:p>
        </w:tc>
        <w:tc>
          <w:tcPr>
            <w:tcW w:w="0" w:type="auto"/>
            <w:hideMark/>
          </w:tcPr>
          <w:p w14:paraId="207BE791"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Establecer normas nacionales aplicables y, en su ausencia, instrumentos internacionales similares que correspondan.</w:t>
            </w:r>
          </w:p>
        </w:tc>
        <w:tc>
          <w:tcPr>
            <w:tcW w:w="0" w:type="auto"/>
            <w:hideMark/>
          </w:tcPr>
          <w:p w14:paraId="4C6F67D7"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 77 numeral 4.</w:t>
            </w:r>
          </w:p>
        </w:tc>
      </w:tr>
      <w:tr w:rsidR="00F5023D" w:rsidRPr="002F7711" w14:paraId="4699A20E" w14:textId="77777777" w:rsidTr="00F5023D">
        <w:trPr>
          <w:trHeight w:val="20"/>
        </w:trPr>
        <w:tc>
          <w:tcPr>
            <w:tcW w:w="0" w:type="auto"/>
            <w:hideMark/>
          </w:tcPr>
          <w:p w14:paraId="4687E25D"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Plazo y lugar de entrega</w:t>
            </w:r>
          </w:p>
        </w:tc>
        <w:tc>
          <w:tcPr>
            <w:tcW w:w="0" w:type="auto"/>
            <w:hideMark/>
          </w:tcPr>
          <w:p w14:paraId="6603D589"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Precisar las condiciones de entrega que deberá cumplir la oferta y posteriormente el contratista.</w:t>
            </w:r>
          </w:p>
        </w:tc>
        <w:tc>
          <w:tcPr>
            <w:tcW w:w="0" w:type="auto"/>
            <w:hideMark/>
          </w:tcPr>
          <w:p w14:paraId="3C23DB1C"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 77 numeral 7, literales b) y e).</w:t>
            </w:r>
          </w:p>
        </w:tc>
      </w:tr>
      <w:tr w:rsidR="00F5023D" w:rsidRPr="00F5023D" w14:paraId="2A0925D6" w14:textId="77777777" w:rsidTr="00F5023D">
        <w:trPr>
          <w:trHeight w:val="20"/>
        </w:trPr>
        <w:tc>
          <w:tcPr>
            <w:tcW w:w="0" w:type="auto"/>
            <w:hideMark/>
          </w:tcPr>
          <w:p w14:paraId="0EEAC79C"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Garantía técnica</w:t>
            </w:r>
          </w:p>
        </w:tc>
        <w:tc>
          <w:tcPr>
            <w:tcW w:w="0" w:type="auto"/>
            <w:hideMark/>
          </w:tcPr>
          <w:p w14:paraId="5FF85AF3"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Determinar cobertura y condiciones exigibles, cuando aplique al bien contratado.</w:t>
            </w:r>
          </w:p>
        </w:tc>
        <w:tc>
          <w:tcPr>
            <w:tcW w:w="0" w:type="auto"/>
            <w:hideMark/>
          </w:tcPr>
          <w:p w14:paraId="55C60DB8"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 77 numeral 7, literal h).</w:t>
            </w:r>
          </w:p>
        </w:tc>
      </w:tr>
      <w:tr w:rsidR="00F5023D" w:rsidRPr="00F5023D" w14:paraId="22972A75" w14:textId="77777777" w:rsidTr="00F5023D">
        <w:trPr>
          <w:trHeight w:val="20"/>
        </w:trPr>
        <w:tc>
          <w:tcPr>
            <w:tcW w:w="0" w:type="auto"/>
            <w:hideMark/>
          </w:tcPr>
          <w:p w14:paraId="3BFD3BFD"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Selección objetiva</w:t>
            </w:r>
          </w:p>
        </w:tc>
        <w:tc>
          <w:tcPr>
            <w:tcW w:w="0" w:type="auto"/>
            <w:hideMark/>
          </w:tcPr>
          <w:p w14:paraId="7CF32A0E" w14:textId="2DAC4652"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Centrar las exigencias en el bien. No trasladar requisitos del sujeto propios de otros procedimientos.</w:t>
            </w:r>
          </w:p>
        </w:tc>
        <w:tc>
          <w:tcPr>
            <w:tcW w:w="0" w:type="auto"/>
            <w:hideMark/>
          </w:tcPr>
          <w:p w14:paraId="17A1506D"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 258 numeral 6.</w:t>
            </w:r>
          </w:p>
        </w:tc>
      </w:tr>
      <w:tr w:rsidR="00F5023D" w:rsidRPr="00F5023D" w14:paraId="1E6999D2" w14:textId="77777777" w:rsidTr="00F5023D">
        <w:trPr>
          <w:trHeight w:val="20"/>
        </w:trPr>
        <w:tc>
          <w:tcPr>
            <w:tcW w:w="0" w:type="auto"/>
            <w:hideMark/>
          </w:tcPr>
          <w:p w14:paraId="1C44A193"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Selección económica</w:t>
            </w:r>
          </w:p>
        </w:tc>
        <w:tc>
          <w:tcPr>
            <w:tcW w:w="0" w:type="auto"/>
            <w:hideMark/>
          </w:tcPr>
          <w:p w14:paraId="0FF73A6E"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Aplicar las reglas de puja o negociación y preferencias. No establecer una matriz de puntajes por mejoras técnicas.</w:t>
            </w:r>
          </w:p>
        </w:tc>
        <w:tc>
          <w:tcPr>
            <w:tcW w:w="0" w:type="auto"/>
            <w:hideMark/>
          </w:tcPr>
          <w:p w14:paraId="1A894004" w14:textId="77777777" w:rsidR="00F5023D" w:rsidRPr="00F5023D" w:rsidRDefault="00F5023D" w:rsidP="00F5023D">
            <w:pPr>
              <w:spacing w:after="0"/>
              <w:rPr>
                <w:rFonts w:ascii="Tahoma" w:hAnsi="Tahoma" w:cs="Tahoma"/>
                <w:sz w:val="20"/>
                <w:szCs w:val="20"/>
                <w:lang w:val="es-EC"/>
              </w:rPr>
            </w:pPr>
            <w:r w:rsidRPr="00F5023D">
              <w:rPr>
                <w:rFonts w:ascii="Tahoma" w:hAnsi="Tahoma" w:cs="Tahoma"/>
                <w:sz w:val="20"/>
                <w:szCs w:val="20"/>
                <w:lang w:val="es-EC"/>
              </w:rPr>
              <w:t>Arts. 107 numeral 1, 258, 259 y 260.</w:t>
            </w:r>
          </w:p>
        </w:tc>
      </w:tr>
    </w:tbl>
    <w:p w14:paraId="74D37E85" w14:textId="77777777" w:rsidR="00F5023D" w:rsidRDefault="00F5023D" w:rsidP="00F5023D">
      <w:pPr>
        <w:rPr>
          <w:lang w:val="es-EC"/>
        </w:rPr>
      </w:pPr>
    </w:p>
    <w:p w14:paraId="1BAFC303" w14:textId="72130903" w:rsidR="00F5023D" w:rsidRDefault="005A6034" w:rsidP="00F5023D">
      <w:pPr>
        <w:rPr>
          <w:rFonts w:ascii="Tahoma" w:hAnsi="Tahoma" w:cs="Tahoma"/>
          <w:b/>
          <w:bCs/>
          <w:sz w:val="20"/>
          <w:szCs w:val="20"/>
          <w:lang w:val="es-EC"/>
        </w:rPr>
      </w:pPr>
      <w:r w:rsidRPr="005A6034">
        <w:rPr>
          <w:rFonts w:ascii="Tahoma" w:hAnsi="Tahoma" w:cs="Tahoma"/>
          <w:b/>
          <w:bCs/>
          <w:sz w:val="20"/>
          <w:szCs w:val="20"/>
          <w:lang w:val="es-EC"/>
        </w:rPr>
        <w:t>Ínfima Cuantía</w:t>
      </w:r>
    </w:p>
    <w:tbl>
      <w:tblPr>
        <w:tblStyle w:val="Tablaconcuadrcula"/>
        <w:tblW w:w="0" w:type="auto"/>
        <w:tblLook w:val="04A0" w:firstRow="1" w:lastRow="0" w:firstColumn="1" w:lastColumn="0" w:noHBand="0" w:noVBand="1"/>
      </w:tblPr>
      <w:tblGrid>
        <w:gridCol w:w="1584"/>
        <w:gridCol w:w="4928"/>
        <w:gridCol w:w="3270"/>
      </w:tblGrid>
      <w:tr w:rsidR="005A6034" w:rsidRPr="005A6034" w14:paraId="074E1F59" w14:textId="77777777" w:rsidTr="005A6034">
        <w:trPr>
          <w:trHeight w:val="20"/>
        </w:trPr>
        <w:tc>
          <w:tcPr>
            <w:tcW w:w="0" w:type="auto"/>
            <w:noWrap/>
            <w:hideMark/>
          </w:tcPr>
          <w:p w14:paraId="2EF23D76" w14:textId="77777777" w:rsidR="005A6034" w:rsidRPr="005A6034" w:rsidRDefault="005A6034" w:rsidP="005A6034">
            <w:pPr>
              <w:spacing w:after="0"/>
              <w:jc w:val="center"/>
              <w:rPr>
                <w:rFonts w:ascii="Arial" w:eastAsia="Times New Roman" w:hAnsi="Arial" w:cs="Arial"/>
                <w:b/>
                <w:bCs/>
                <w:sz w:val="22"/>
                <w:lang w:val="es-EC" w:eastAsia="es-EC"/>
              </w:rPr>
            </w:pPr>
            <w:r w:rsidRPr="005A6034">
              <w:rPr>
                <w:rFonts w:ascii="Arial" w:eastAsia="Times New Roman" w:hAnsi="Arial" w:cs="Arial"/>
                <w:b/>
                <w:bCs/>
                <w:sz w:val="22"/>
                <w:lang w:val="es-EC" w:eastAsia="es-EC"/>
              </w:rPr>
              <w:t>Parámetro</w:t>
            </w:r>
          </w:p>
        </w:tc>
        <w:tc>
          <w:tcPr>
            <w:tcW w:w="0" w:type="auto"/>
            <w:noWrap/>
            <w:hideMark/>
          </w:tcPr>
          <w:p w14:paraId="1E2CAAD1" w14:textId="77777777" w:rsidR="005A6034" w:rsidRPr="005A6034" w:rsidRDefault="005A6034" w:rsidP="005A6034">
            <w:pPr>
              <w:spacing w:after="0"/>
              <w:jc w:val="center"/>
              <w:rPr>
                <w:rFonts w:ascii="Arial" w:eastAsia="Times New Roman" w:hAnsi="Arial" w:cs="Arial"/>
                <w:b/>
                <w:bCs/>
                <w:sz w:val="22"/>
                <w:lang w:val="es-EC" w:eastAsia="es-EC"/>
              </w:rPr>
            </w:pPr>
            <w:r w:rsidRPr="005A6034">
              <w:rPr>
                <w:rFonts w:ascii="Arial" w:eastAsia="Times New Roman" w:hAnsi="Arial" w:cs="Arial"/>
                <w:b/>
                <w:bCs/>
                <w:sz w:val="22"/>
                <w:lang w:val="es-EC" w:eastAsia="es-EC"/>
              </w:rPr>
              <w:t>Qué debe evaluarse o establecerse</w:t>
            </w:r>
          </w:p>
        </w:tc>
        <w:tc>
          <w:tcPr>
            <w:tcW w:w="0" w:type="auto"/>
            <w:noWrap/>
            <w:hideMark/>
          </w:tcPr>
          <w:p w14:paraId="32A1E154" w14:textId="77777777" w:rsidR="005A6034" w:rsidRPr="005A6034" w:rsidRDefault="005A6034" w:rsidP="005A6034">
            <w:pPr>
              <w:spacing w:after="0"/>
              <w:jc w:val="center"/>
              <w:rPr>
                <w:rFonts w:ascii="Arial" w:eastAsia="Times New Roman" w:hAnsi="Arial" w:cs="Arial"/>
                <w:b/>
                <w:bCs/>
                <w:sz w:val="22"/>
                <w:lang w:val="es-EC" w:eastAsia="es-EC"/>
              </w:rPr>
            </w:pPr>
            <w:r w:rsidRPr="005A6034">
              <w:rPr>
                <w:rFonts w:ascii="Arial" w:eastAsia="Times New Roman" w:hAnsi="Arial" w:cs="Arial"/>
                <w:b/>
                <w:bCs/>
                <w:sz w:val="22"/>
                <w:lang w:val="es-EC" w:eastAsia="es-EC"/>
              </w:rPr>
              <w:t>Base legal del Reglamento</w:t>
            </w:r>
          </w:p>
        </w:tc>
      </w:tr>
      <w:tr w:rsidR="005A6034" w:rsidRPr="005A6034" w14:paraId="14C9A0FE" w14:textId="77777777" w:rsidTr="005A6034">
        <w:trPr>
          <w:trHeight w:val="20"/>
        </w:trPr>
        <w:tc>
          <w:tcPr>
            <w:tcW w:w="0" w:type="auto"/>
            <w:hideMark/>
          </w:tcPr>
          <w:p w14:paraId="5B1545EA"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lastRenderedPageBreak/>
              <w:t>Cumplimiento técnico</w:t>
            </w:r>
          </w:p>
        </w:tc>
        <w:tc>
          <w:tcPr>
            <w:tcW w:w="0" w:type="auto"/>
            <w:hideMark/>
          </w:tcPr>
          <w:p w14:paraId="5A27FEC5"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Verificar que el bien cotizado satisfaga las características y condiciones requeridas por la unidad requirente.</w:t>
            </w:r>
          </w:p>
        </w:tc>
        <w:tc>
          <w:tcPr>
            <w:tcW w:w="0" w:type="auto"/>
            <w:hideMark/>
          </w:tcPr>
          <w:p w14:paraId="4B65A076"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Arts. 77 y 269 numeral 1.</w:t>
            </w:r>
          </w:p>
        </w:tc>
      </w:tr>
      <w:tr w:rsidR="005A6034" w:rsidRPr="005A6034" w14:paraId="7A413675" w14:textId="77777777" w:rsidTr="005A6034">
        <w:trPr>
          <w:trHeight w:val="20"/>
        </w:trPr>
        <w:tc>
          <w:tcPr>
            <w:tcW w:w="0" w:type="auto"/>
            <w:hideMark/>
          </w:tcPr>
          <w:p w14:paraId="1631E6C0"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Plazo y lugar de entrega</w:t>
            </w:r>
          </w:p>
        </w:tc>
        <w:tc>
          <w:tcPr>
            <w:tcW w:w="0" w:type="auto"/>
            <w:hideMark/>
          </w:tcPr>
          <w:p w14:paraId="136E0940"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Precisar las condiciones requeridas y comprobar su correspondencia con la proforma y la orden de compra.</w:t>
            </w:r>
          </w:p>
        </w:tc>
        <w:tc>
          <w:tcPr>
            <w:tcW w:w="0" w:type="auto"/>
            <w:hideMark/>
          </w:tcPr>
          <w:p w14:paraId="7F65AA3F"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Art. 77 numeral 7, literales b) y e). Art. 269 numerales 4 y 7.</w:t>
            </w:r>
          </w:p>
        </w:tc>
      </w:tr>
      <w:tr w:rsidR="005A6034" w:rsidRPr="005A6034" w14:paraId="5A098AF8" w14:textId="77777777" w:rsidTr="005A6034">
        <w:trPr>
          <w:trHeight w:val="20"/>
        </w:trPr>
        <w:tc>
          <w:tcPr>
            <w:tcW w:w="0" w:type="auto"/>
            <w:hideMark/>
          </w:tcPr>
          <w:p w14:paraId="32D32535"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Garantía técnica</w:t>
            </w:r>
          </w:p>
        </w:tc>
        <w:tc>
          <w:tcPr>
            <w:tcW w:w="0" w:type="auto"/>
            <w:hideMark/>
          </w:tcPr>
          <w:p w14:paraId="69474216"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Establecer las condiciones de garantía cuando correspondan al bien.</w:t>
            </w:r>
          </w:p>
        </w:tc>
        <w:tc>
          <w:tcPr>
            <w:tcW w:w="0" w:type="auto"/>
            <w:hideMark/>
          </w:tcPr>
          <w:p w14:paraId="6DBF2C0B"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Art. 77 numeral 7, literal h).</w:t>
            </w:r>
          </w:p>
        </w:tc>
      </w:tr>
      <w:tr w:rsidR="005A6034" w:rsidRPr="005A6034" w14:paraId="26DBC327" w14:textId="77777777" w:rsidTr="005A6034">
        <w:trPr>
          <w:trHeight w:val="20"/>
        </w:trPr>
        <w:tc>
          <w:tcPr>
            <w:tcW w:w="0" w:type="auto"/>
            <w:hideMark/>
          </w:tcPr>
          <w:p w14:paraId="3B25385E"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Condiciones de la proforma</w:t>
            </w:r>
          </w:p>
        </w:tc>
        <w:tc>
          <w:tcPr>
            <w:tcW w:w="0" w:type="auto"/>
            <w:hideMark/>
          </w:tcPr>
          <w:p w14:paraId="1DF033AF"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Verificar vigencia y correspondencia con las condiciones publicadas y el proyecto de orden de compra.</w:t>
            </w:r>
          </w:p>
        </w:tc>
        <w:tc>
          <w:tcPr>
            <w:tcW w:w="0" w:type="auto"/>
            <w:hideMark/>
          </w:tcPr>
          <w:p w14:paraId="22FB89A2"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Art. 269 numerales 4 y 5.</w:t>
            </w:r>
          </w:p>
        </w:tc>
      </w:tr>
      <w:tr w:rsidR="005A6034" w:rsidRPr="005A6034" w14:paraId="0A41362C" w14:textId="77777777" w:rsidTr="005A6034">
        <w:trPr>
          <w:trHeight w:val="20"/>
        </w:trPr>
        <w:tc>
          <w:tcPr>
            <w:tcW w:w="0" w:type="auto"/>
            <w:hideMark/>
          </w:tcPr>
          <w:p w14:paraId="57DA6497"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Precio y mejor valor por dinero</w:t>
            </w:r>
          </w:p>
        </w:tc>
        <w:tc>
          <w:tcPr>
            <w:tcW w:w="0" w:type="auto"/>
            <w:hideMark/>
          </w:tcPr>
          <w:p w14:paraId="7051E240"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Comparar las condiciones ofrecidas y justificar la selección considerando los atributos pertinentes del bien y sus costos asociados.</w:t>
            </w:r>
          </w:p>
        </w:tc>
        <w:tc>
          <w:tcPr>
            <w:tcW w:w="0" w:type="auto"/>
            <w:hideMark/>
          </w:tcPr>
          <w:p w14:paraId="10619296"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Arts. 74 y 269 numeral 6.</w:t>
            </w:r>
          </w:p>
        </w:tc>
      </w:tr>
      <w:tr w:rsidR="005A6034" w:rsidRPr="005A6034" w14:paraId="5903AE50" w14:textId="77777777" w:rsidTr="005A6034">
        <w:trPr>
          <w:trHeight w:val="20"/>
        </w:trPr>
        <w:tc>
          <w:tcPr>
            <w:tcW w:w="0" w:type="auto"/>
            <w:hideMark/>
          </w:tcPr>
          <w:p w14:paraId="02C7F9E0"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Habilitación legal del proveedor</w:t>
            </w:r>
          </w:p>
        </w:tc>
        <w:tc>
          <w:tcPr>
            <w:tcW w:w="0" w:type="auto"/>
            <w:hideMark/>
          </w:tcPr>
          <w:p w14:paraId="4CC9A937"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Verificar que no esté incurso en inhabilidades o prohibiciones para contratar con el Estado. Es una verificación jurídica, no una característica técnica del bien.</w:t>
            </w:r>
          </w:p>
        </w:tc>
        <w:tc>
          <w:tcPr>
            <w:tcW w:w="0" w:type="auto"/>
            <w:hideMark/>
          </w:tcPr>
          <w:p w14:paraId="6F6D8E94" w14:textId="77777777" w:rsidR="005A6034" w:rsidRPr="005A6034" w:rsidRDefault="005A6034" w:rsidP="005A6034">
            <w:pPr>
              <w:spacing w:after="0"/>
              <w:rPr>
                <w:rFonts w:ascii="Tahoma" w:hAnsi="Tahoma" w:cs="Tahoma"/>
                <w:sz w:val="20"/>
                <w:szCs w:val="20"/>
                <w:lang w:val="es-EC"/>
              </w:rPr>
            </w:pPr>
            <w:r w:rsidRPr="005A6034">
              <w:rPr>
                <w:rFonts w:ascii="Tahoma" w:hAnsi="Tahoma" w:cs="Tahoma"/>
                <w:sz w:val="20"/>
                <w:szCs w:val="20"/>
                <w:lang w:val="es-EC"/>
              </w:rPr>
              <w:t>Art. 269 numeral 6.</w:t>
            </w:r>
          </w:p>
        </w:tc>
      </w:tr>
    </w:tbl>
    <w:p w14:paraId="649F7308" w14:textId="77777777" w:rsidR="005A6034" w:rsidRPr="005A6034" w:rsidRDefault="005A6034" w:rsidP="00F5023D">
      <w:pPr>
        <w:rPr>
          <w:rFonts w:ascii="Tahoma" w:hAnsi="Tahoma" w:cs="Tahoma"/>
          <w:b/>
          <w:bCs/>
          <w:sz w:val="20"/>
          <w:szCs w:val="20"/>
          <w:lang w:val="es-EC"/>
        </w:rPr>
      </w:pPr>
    </w:p>
    <w:p w14:paraId="18CC94C4" w14:textId="77777777" w:rsidR="00E25D99" w:rsidRPr="00326FAA" w:rsidRDefault="00D649D1" w:rsidP="00FE4495">
      <w:pPr>
        <w:pStyle w:val="Ttulo2"/>
        <w:jc w:val="both"/>
        <w:rPr>
          <w:rFonts w:ascii="Tahoma" w:hAnsi="Tahoma" w:cs="Tahoma"/>
          <w:color w:val="auto"/>
          <w:sz w:val="20"/>
          <w:szCs w:val="20"/>
          <w:lang w:val="es-EC"/>
        </w:rPr>
      </w:pPr>
      <w:r w:rsidRPr="00326FAA">
        <w:rPr>
          <w:rFonts w:ascii="Tahoma" w:hAnsi="Tahoma" w:cs="Tahoma"/>
          <w:color w:val="auto"/>
          <w:sz w:val="20"/>
          <w:szCs w:val="20"/>
          <w:lang w:val="es-EC"/>
        </w:rPr>
        <w:t>11. Anexos</w:t>
      </w:r>
    </w:p>
    <w:p w14:paraId="7B73D687" w14:textId="77777777" w:rsidR="00E25D99" w:rsidRDefault="00D649D1" w:rsidP="00FE4495">
      <w:pPr>
        <w:jc w:val="both"/>
        <w:rPr>
          <w:rFonts w:ascii="Tahoma" w:hAnsi="Tahoma" w:cs="Tahoma"/>
          <w:sz w:val="20"/>
          <w:szCs w:val="20"/>
          <w:lang w:val="es-EC"/>
        </w:rPr>
      </w:pPr>
      <w:r w:rsidRPr="00326FAA">
        <w:rPr>
          <w:rFonts w:ascii="Tahoma" w:hAnsi="Tahoma" w:cs="Tahoma"/>
          <w:sz w:val="20"/>
          <w:szCs w:val="20"/>
          <w:lang w:val="es-EC"/>
        </w:rPr>
        <w:t>[Inventario, fichas, planos, fotografías, justificación de compatibilidad u otros documentos pertinentes.]</w:t>
      </w:r>
    </w:p>
    <w:p w14:paraId="71F1C509" w14:textId="552FFCC0" w:rsidR="002F7711" w:rsidRPr="002F7711" w:rsidRDefault="002F7711" w:rsidP="002F7711">
      <w:pPr>
        <w:pStyle w:val="Ttulo2"/>
        <w:jc w:val="both"/>
        <w:rPr>
          <w:rFonts w:ascii="Tahoma" w:hAnsi="Tahoma" w:cs="Tahoma"/>
          <w:color w:val="auto"/>
          <w:sz w:val="20"/>
          <w:szCs w:val="20"/>
          <w:lang w:val="es-EC"/>
        </w:rPr>
      </w:pPr>
      <w:r w:rsidRPr="002F7711">
        <w:rPr>
          <w:rFonts w:ascii="Tahoma" w:hAnsi="Tahoma" w:cs="Tahoma"/>
          <w:color w:val="auto"/>
          <w:sz w:val="20"/>
          <w:szCs w:val="20"/>
          <w:lang w:val="es-EC"/>
        </w:rPr>
        <w:t>12. Garantías</w:t>
      </w:r>
    </w:p>
    <w:p w14:paraId="0B9B6ABE" w14:textId="77777777" w:rsidR="002F7711" w:rsidRPr="00326FAA" w:rsidRDefault="002F7711" w:rsidP="002F7711">
      <w:pPr>
        <w:jc w:val="both"/>
        <w:rPr>
          <w:rFonts w:ascii="Tahoma" w:hAnsi="Tahoma" w:cs="Tahoma"/>
          <w:sz w:val="20"/>
          <w:szCs w:val="20"/>
          <w:lang w:val="es-EC"/>
        </w:rPr>
      </w:pPr>
      <w:r w:rsidRPr="00326FAA">
        <w:rPr>
          <w:rFonts w:ascii="Tahoma" w:hAnsi="Tahoma" w:cs="Tahoma"/>
          <w:sz w:val="20"/>
          <w:szCs w:val="20"/>
          <w:lang w:val="es-EC"/>
        </w:rPr>
        <w:t>[</w:t>
      </w:r>
      <w:r>
        <w:rPr>
          <w:rFonts w:ascii="Tahoma" w:hAnsi="Tahoma" w:cs="Tahoma"/>
          <w:sz w:val="20"/>
          <w:szCs w:val="20"/>
          <w:lang w:val="es-EC"/>
        </w:rPr>
        <w:t>Según corresponda en observancia al Art. 84e la LOSNCP</w:t>
      </w:r>
      <w:r w:rsidRPr="00326FAA">
        <w:rPr>
          <w:rFonts w:ascii="Tahoma" w:hAnsi="Tahoma" w:cs="Tahoma"/>
          <w:sz w:val="20"/>
          <w:szCs w:val="20"/>
          <w:lang w:val="es-EC"/>
        </w:rPr>
        <w:t>.]</w:t>
      </w:r>
    </w:p>
    <w:p w14:paraId="7B2A8ACD" w14:textId="09B71B48" w:rsidR="002F7711" w:rsidRPr="002F7711" w:rsidRDefault="002F7711" w:rsidP="002F7711">
      <w:pPr>
        <w:pStyle w:val="Ttulo2"/>
        <w:jc w:val="both"/>
        <w:rPr>
          <w:rFonts w:ascii="Tahoma" w:hAnsi="Tahoma" w:cs="Tahoma"/>
          <w:color w:val="auto"/>
          <w:sz w:val="20"/>
          <w:szCs w:val="20"/>
          <w:lang w:val="es-EC"/>
        </w:rPr>
      </w:pPr>
      <w:r w:rsidRPr="002F7711">
        <w:rPr>
          <w:rFonts w:ascii="Tahoma" w:hAnsi="Tahoma" w:cs="Tahoma"/>
          <w:color w:val="auto"/>
          <w:sz w:val="20"/>
          <w:szCs w:val="20"/>
          <w:lang w:val="es-EC"/>
        </w:rPr>
        <w:t xml:space="preserve">13. Firmas </w:t>
      </w:r>
    </w:p>
    <w:p w14:paraId="7E8BBDB5" w14:textId="003C72CC" w:rsidR="00E25D99" w:rsidRPr="00326FAA" w:rsidRDefault="00E25D99" w:rsidP="00FE4495">
      <w:pPr>
        <w:jc w:val="both"/>
        <w:rPr>
          <w:rFonts w:ascii="Tahoma" w:hAnsi="Tahoma" w:cs="Tahoma"/>
          <w:sz w:val="20"/>
          <w:szCs w:val="20"/>
          <w:lang w:val="es-EC"/>
        </w:rPr>
      </w:pPr>
    </w:p>
    <w:tbl>
      <w:tblPr>
        <w:tblStyle w:val="Tablaconcuadrcula"/>
        <w:tblW w:w="0" w:type="auto"/>
        <w:jc w:val="center"/>
        <w:tblLook w:val="04A0" w:firstRow="1" w:lastRow="0" w:firstColumn="1" w:lastColumn="0" w:noHBand="0" w:noVBand="1"/>
      </w:tblPr>
      <w:tblGrid>
        <w:gridCol w:w="2302"/>
        <w:gridCol w:w="2446"/>
        <w:gridCol w:w="2445"/>
        <w:gridCol w:w="2589"/>
      </w:tblGrid>
      <w:tr w:rsidR="00326FAA" w:rsidRPr="00CE7E88" w14:paraId="10600EDC" w14:textId="77777777" w:rsidTr="007F3A6F">
        <w:trPr>
          <w:jc w:val="center"/>
        </w:trPr>
        <w:tc>
          <w:tcPr>
            <w:tcW w:w="2302" w:type="dxa"/>
            <w:shd w:val="clear" w:color="auto" w:fill="DCE8F3"/>
          </w:tcPr>
          <w:p w14:paraId="3BD67C58" w14:textId="77777777" w:rsidR="00326FAA" w:rsidRPr="00CE7E88" w:rsidRDefault="00326FAA" w:rsidP="00A35A3B">
            <w:pPr>
              <w:jc w:val="both"/>
              <w:rPr>
                <w:rFonts w:ascii="Tahoma" w:hAnsi="Tahoma" w:cs="Tahoma"/>
                <w:szCs w:val="20"/>
              </w:rPr>
            </w:pPr>
            <w:r w:rsidRPr="00CE7E88">
              <w:rPr>
                <w:rFonts w:ascii="Tahoma" w:hAnsi="Tahoma" w:cs="Tahoma"/>
                <w:b/>
                <w:szCs w:val="20"/>
              </w:rPr>
              <w:t>Actividad</w:t>
            </w:r>
          </w:p>
        </w:tc>
        <w:tc>
          <w:tcPr>
            <w:tcW w:w="2446" w:type="dxa"/>
            <w:shd w:val="clear" w:color="auto" w:fill="DCE8F3"/>
          </w:tcPr>
          <w:p w14:paraId="2E6D20F9" w14:textId="77777777" w:rsidR="00326FAA" w:rsidRPr="00CE7E88" w:rsidRDefault="00326FAA" w:rsidP="00A35A3B">
            <w:pPr>
              <w:jc w:val="both"/>
              <w:rPr>
                <w:rFonts w:ascii="Tahoma" w:hAnsi="Tahoma" w:cs="Tahoma"/>
                <w:szCs w:val="20"/>
              </w:rPr>
            </w:pPr>
            <w:r w:rsidRPr="00CE7E88">
              <w:rPr>
                <w:rFonts w:ascii="Tahoma" w:hAnsi="Tahoma" w:cs="Tahoma"/>
                <w:b/>
                <w:szCs w:val="20"/>
              </w:rPr>
              <w:t>Nombre</w:t>
            </w:r>
          </w:p>
        </w:tc>
        <w:tc>
          <w:tcPr>
            <w:tcW w:w="2445" w:type="dxa"/>
            <w:shd w:val="clear" w:color="auto" w:fill="DCE8F3"/>
          </w:tcPr>
          <w:p w14:paraId="2B96C49A" w14:textId="77777777" w:rsidR="00326FAA" w:rsidRPr="00CE7E88" w:rsidRDefault="00326FAA" w:rsidP="00A35A3B">
            <w:pPr>
              <w:jc w:val="both"/>
              <w:rPr>
                <w:rFonts w:ascii="Tahoma" w:hAnsi="Tahoma" w:cs="Tahoma"/>
                <w:szCs w:val="20"/>
              </w:rPr>
            </w:pPr>
            <w:r w:rsidRPr="00CE7E88">
              <w:rPr>
                <w:rFonts w:ascii="Tahoma" w:hAnsi="Tahoma" w:cs="Tahoma"/>
                <w:b/>
                <w:szCs w:val="20"/>
              </w:rPr>
              <w:t>Cargo</w:t>
            </w:r>
          </w:p>
        </w:tc>
        <w:tc>
          <w:tcPr>
            <w:tcW w:w="2589" w:type="dxa"/>
            <w:shd w:val="clear" w:color="auto" w:fill="DCE8F3"/>
          </w:tcPr>
          <w:p w14:paraId="5201211C" w14:textId="77777777" w:rsidR="00326FAA" w:rsidRPr="00CE7E88" w:rsidRDefault="00326FAA" w:rsidP="00A35A3B">
            <w:pPr>
              <w:jc w:val="both"/>
              <w:rPr>
                <w:rFonts w:ascii="Tahoma" w:hAnsi="Tahoma" w:cs="Tahoma"/>
                <w:szCs w:val="20"/>
              </w:rPr>
            </w:pPr>
            <w:r w:rsidRPr="00CE7E88">
              <w:rPr>
                <w:rFonts w:ascii="Tahoma" w:hAnsi="Tahoma" w:cs="Tahoma"/>
                <w:b/>
                <w:szCs w:val="20"/>
              </w:rPr>
              <w:t>Firma</w:t>
            </w:r>
          </w:p>
        </w:tc>
      </w:tr>
      <w:tr w:rsidR="00326FAA" w:rsidRPr="00CE7E88" w14:paraId="7F1AA339" w14:textId="77777777" w:rsidTr="007F3A6F">
        <w:trPr>
          <w:jc w:val="center"/>
        </w:trPr>
        <w:tc>
          <w:tcPr>
            <w:tcW w:w="2302" w:type="dxa"/>
            <w:vAlign w:val="center"/>
          </w:tcPr>
          <w:p w14:paraId="5026BFAC" w14:textId="77777777" w:rsidR="00326FAA" w:rsidRPr="00CE7E88" w:rsidRDefault="00326FAA" w:rsidP="00A35A3B">
            <w:pPr>
              <w:jc w:val="both"/>
              <w:rPr>
                <w:rFonts w:ascii="Tahoma" w:hAnsi="Tahoma" w:cs="Tahoma"/>
                <w:szCs w:val="20"/>
              </w:rPr>
            </w:pPr>
            <w:r w:rsidRPr="00CE7E88">
              <w:rPr>
                <w:rFonts w:ascii="Tahoma" w:hAnsi="Tahoma" w:cs="Tahoma"/>
                <w:szCs w:val="20"/>
              </w:rPr>
              <w:t>Elaboración</w:t>
            </w:r>
          </w:p>
        </w:tc>
        <w:tc>
          <w:tcPr>
            <w:tcW w:w="2446" w:type="dxa"/>
            <w:vAlign w:val="center"/>
          </w:tcPr>
          <w:p w14:paraId="79941AB3" w14:textId="77777777" w:rsidR="00326FAA" w:rsidRPr="00CE7E88" w:rsidRDefault="00326FAA" w:rsidP="00A35A3B">
            <w:pPr>
              <w:jc w:val="both"/>
              <w:rPr>
                <w:rFonts w:ascii="Tahoma" w:hAnsi="Tahoma" w:cs="Tahoma"/>
                <w:szCs w:val="20"/>
              </w:rPr>
            </w:pPr>
            <w:r w:rsidRPr="00CE7E88">
              <w:rPr>
                <w:rFonts w:ascii="Tahoma" w:hAnsi="Tahoma" w:cs="Tahoma"/>
                <w:szCs w:val="20"/>
              </w:rPr>
              <w:t>[Nombre]</w:t>
            </w:r>
          </w:p>
        </w:tc>
        <w:tc>
          <w:tcPr>
            <w:tcW w:w="2445" w:type="dxa"/>
            <w:vAlign w:val="center"/>
          </w:tcPr>
          <w:p w14:paraId="41D1307A" w14:textId="77777777" w:rsidR="00326FAA" w:rsidRPr="00CE7E88" w:rsidRDefault="00326FAA" w:rsidP="00A35A3B">
            <w:pPr>
              <w:jc w:val="both"/>
              <w:rPr>
                <w:rFonts w:ascii="Tahoma" w:hAnsi="Tahoma" w:cs="Tahoma"/>
                <w:szCs w:val="20"/>
              </w:rPr>
            </w:pPr>
            <w:r w:rsidRPr="00CE7E88">
              <w:rPr>
                <w:rFonts w:ascii="Tahoma" w:hAnsi="Tahoma" w:cs="Tahoma"/>
                <w:szCs w:val="20"/>
              </w:rPr>
              <w:t>[Cargo]</w:t>
            </w:r>
          </w:p>
        </w:tc>
        <w:tc>
          <w:tcPr>
            <w:tcW w:w="2589" w:type="dxa"/>
            <w:vAlign w:val="center"/>
          </w:tcPr>
          <w:p w14:paraId="113D7E15" w14:textId="77777777" w:rsidR="00326FAA" w:rsidRPr="00CE7E88" w:rsidRDefault="00326FAA" w:rsidP="00A35A3B">
            <w:pPr>
              <w:jc w:val="both"/>
              <w:rPr>
                <w:rFonts w:ascii="Tahoma" w:hAnsi="Tahoma" w:cs="Tahoma"/>
                <w:szCs w:val="20"/>
              </w:rPr>
            </w:pPr>
          </w:p>
        </w:tc>
      </w:tr>
      <w:tr w:rsidR="00326FAA" w:rsidRPr="00CE7E88" w14:paraId="1A43E1C9" w14:textId="77777777" w:rsidTr="007F3A6F">
        <w:trPr>
          <w:jc w:val="center"/>
        </w:trPr>
        <w:tc>
          <w:tcPr>
            <w:tcW w:w="2302" w:type="dxa"/>
            <w:vAlign w:val="center"/>
          </w:tcPr>
          <w:p w14:paraId="5BCFA1E5" w14:textId="56A4D525" w:rsidR="00326FAA" w:rsidRPr="00CE7E88" w:rsidRDefault="002F7711" w:rsidP="00A35A3B">
            <w:pPr>
              <w:jc w:val="both"/>
              <w:rPr>
                <w:rFonts w:ascii="Tahoma" w:hAnsi="Tahoma" w:cs="Tahoma"/>
                <w:szCs w:val="20"/>
              </w:rPr>
            </w:pPr>
            <w:r>
              <w:rPr>
                <w:rFonts w:ascii="Tahoma" w:hAnsi="Tahoma" w:cs="Tahoma"/>
                <w:szCs w:val="20"/>
              </w:rPr>
              <w:t>Revisión y a</w:t>
            </w:r>
            <w:r w:rsidR="00326FAA" w:rsidRPr="00CE7E88">
              <w:rPr>
                <w:rFonts w:ascii="Tahoma" w:hAnsi="Tahoma" w:cs="Tahoma"/>
                <w:szCs w:val="20"/>
              </w:rPr>
              <w:t xml:space="preserve">probación </w:t>
            </w:r>
          </w:p>
        </w:tc>
        <w:tc>
          <w:tcPr>
            <w:tcW w:w="2446" w:type="dxa"/>
            <w:vAlign w:val="center"/>
          </w:tcPr>
          <w:p w14:paraId="4782B90A" w14:textId="77777777" w:rsidR="00326FAA" w:rsidRPr="00CE7E88" w:rsidRDefault="00326FAA" w:rsidP="00A35A3B">
            <w:pPr>
              <w:jc w:val="both"/>
              <w:rPr>
                <w:rFonts w:ascii="Tahoma" w:hAnsi="Tahoma" w:cs="Tahoma"/>
                <w:szCs w:val="20"/>
              </w:rPr>
            </w:pPr>
            <w:r w:rsidRPr="00CE7E88">
              <w:rPr>
                <w:rFonts w:ascii="Tahoma" w:hAnsi="Tahoma" w:cs="Tahoma"/>
                <w:szCs w:val="20"/>
              </w:rPr>
              <w:t>[Nombre]</w:t>
            </w:r>
          </w:p>
        </w:tc>
        <w:tc>
          <w:tcPr>
            <w:tcW w:w="2445" w:type="dxa"/>
            <w:vAlign w:val="center"/>
          </w:tcPr>
          <w:p w14:paraId="7D018F38" w14:textId="77777777" w:rsidR="00326FAA" w:rsidRPr="00CE7E88" w:rsidRDefault="00326FAA" w:rsidP="00A35A3B">
            <w:pPr>
              <w:jc w:val="both"/>
              <w:rPr>
                <w:rFonts w:ascii="Tahoma" w:hAnsi="Tahoma" w:cs="Tahoma"/>
                <w:szCs w:val="20"/>
              </w:rPr>
            </w:pPr>
            <w:r w:rsidRPr="00CE7E88">
              <w:rPr>
                <w:rFonts w:ascii="Tahoma" w:hAnsi="Tahoma" w:cs="Tahoma"/>
                <w:szCs w:val="20"/>
              </w:rPr>
              <w:t>[Cargo]</w:t>
            </w:r>
          </w:p>
        </w:tc>
        <w:tc>
          <w:tcPr>
            <w:tcW w:w="2589" w:type="dxa"/>
            <w:vAlign w:val="center"/>
          </w:tcPr>
          <w:p w14:paraId="3FE04856" w14:textId="77777777" w:rsidR="00326FAA" w:rsidRPr="00CE7E88" w:rsidRDefault="00326FAA" w:rsidP="00A35A3B">
            <w:pPr>
              <w:jc w:val="both"/>
              <w:rPr>
                <w:rFonts w:ascii="Tahoma" w:hAnsi="Tahoma" w:cs="Tahoma"/>
                <w:szCs w:val="20"/>
              </w:rPr>
            </w:pPr>
          </w:p>
        </w:tc>
      </w:tr>
    </w:tbl>
    <w:p w14:paraId="3F8241EE" w14:textId="77777777" w:rsidR="00E25D99" w:rsidRPr="00326FAA" w:rsidRDefault="00E25D99" w:rsidP="00FE4495">
      <w:pPr>
        <w:jc w:val="both"/>
        <w:rPr>
          <w:rFonts w:ascii="Tahoma" w:hAnsi="Tahoma" w:cs="Tahoma"/>
          <w:sz w:val="20"/>
          <w:szCs w:val="20"/>
          <w:lang w:val="es-EC"/>
        </w:rPr>
      </w:pPr>
    </w:p>
    <w:sectPr w:rsidR="00E25D99" w:rsidRPr="00326FAA" w:rsidSect="00034616">
      <w:headerReference w:type="default" r:id="rId8"/>
      <w:footerReference w:type="default" r:id="rId9"/>
      <w:pgSz w:w="12240" w:h="15840"/>
      <w:pgMar w:top="1080"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64860" w14:textId="77777777" w:rsidR="00A7679C" w:rsidRDefault="00A7679C">
      <w:pPr>
        <w:spacing w:after="0" w:line="240" w:lineRule="auto"/>
      </w:pPr>
      <w:r>
        <w:separator/>
      </w:r>
    </w:p>
  </w:endnote>
  <w:endnote w:type="continuationSeparator" w:id="0">
    <w:p w14:paraId="5DA27C50" w14:textId="77777777" w:rsidR="00A7679C" w:rsidRDefault="00A76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03C7" w14:textId="77777777" w:rsidR="002A0270" w:rsidRDefault="00D649D1">
    <w:pPr>
      <w:jc w:val="center"/>
    </w:pPr>
    <w:r>
      <w:rPr>
        <w:noProof/>
      </w:rPr>
      <w:drawing>
        <wp:inline distT="0" distB="0" distL="0" distR="0" wp14:anchorId="584A1DD9" wp14:editId="2E67F130">
          <wp:extent cx="6029325" cy="723900"/>
          <wp:effectExtent l="0" t="0" r="9525" b="0"/>
          <wp:docPr id="6040490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49099" name=""/>
                  <pic:cNvPicPr/>
                </pic:nvPicPr>
                <pic:blipFill rotWithShape="1">
                  <a:blip r:embed="rId1"/>
                  <a:srcRect l="14148" t="57799" r="15268" b="33075"/>
                  <a:stretch>
                    <a:fillRect/>
                  </a:stretch>
                </pic:blipFill>
                <pic:spPr bwMode="auto">
                  <a:xfrm>
                    <a:off x="0" y="0"/>
                    <a:ext cx="6029325" cy="72390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90255" w14:textId="77777777" w:rsidR="00A7679C" w:rsidRDefault="00A7679C">
      <w:pPr>
        <w:spacing w:after="0" w:line="240" w:lineRule="auto"/>
      </w:pPr>
      <w:r>
        <w:separator/>
      </w:r>
    </w:p>
  </w:footnote>
  <w:footnote w:type="continuationSeparator" w:id="0">
    <w:p w14:paraId="391C2186" w14:textId="77777777" w:rsidR="00A7679C" w:rsidRDefault="00A76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4564"/>
      <w:gridCol w:w="2592"/>
    </w:tblGrid>
    <w:tr w:rsidR="00817E35" w:rsidRPr="00B74A52" w14:paraId="7EF2F8EA" w14:textId="77777777" w:rsidTr="00730787">
      <w:trPr>
        <w:trHeight w:val="527"/>
      </w:trPr>
      <w:tc>
        <w:tcPr>
          <w:tcW w:w="1342" w:type="pct"/>
          <w:vMerge w:val="restart"/>
          <w:vAlign w:val="center"/>
        </w:tcPr>
        <w:p w14:paraId="677A8E04" w14:textId="77777777" w:rsidR="00817E35" w:rsidRPr="00B74A52" w:rsidRDefault="00817E35" w:rsidP="00817E35">
          <w:pPr>
            <w:tabs>
              <w:tab w:val="center" w:pos="4252"/>
              <w:tab w:val="right" w:pos="8504"/>
            </w:tabs>
            <w:jc w:val="center"/>
            <w:rPr>
              <w:rFonts w:eastAsia="Calibri" w:cs="Arial"/>
              <w:b/>
              <w:lang w:val="es-ES"/>
            </w:rPr>
          </w:pPr>
          <w:r>
            <w:rPr>
              <w:noProof/>
              <w:lang w:val="es-EC" w:eastAsia="es-EC"/>
            </w:rPr>
            <w:drawing>
              <wp:inline distT="0" distB="0" distL="0" distR="0" wp14:anchorId="19D404B6" wp14:editId="75C579F4">
                <wp:extent cx="1438275" cy="895350"/>
                <wp:effectExtent l="0" t="0" r="9525" b="0"/>
                <wp:docPr id="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pic:cNvPicPr>
                          <a:picLocks noChangeAspect="1"/>
                        </pic:cNvPicPr>
                      </pic:nvPicPr>
                      <pic:blipFill>
                        <a:blip r:embed="rId1">
                          <a:extLst>
                            <a:ext uri="{28A0092B-C50C-407E-A947-70E740481C1C}">
                              <a14:useLocalDpi xmlns:a14="http://schemas.microsoft.com/office/drawing/2010/main" val="0"/>
                            </a:ext>
                          </a:extLst>
                        </a:blip>
                        <a:srcRect l="4285" t="8408" r="5049" b="8569"/>
                        <a:stretch>
                          <a:fillRect/>
                        </a:stretch>
                      </pic:blipFill>
                      <pic:spPr bwMode="auto">
                        <a:xfrm>
                          <a:off x="0" y="0"/>
                          <a:ext cx="1438275" cy="895350"/>
                        </a:xfrm>
                        <a:prstGeom prst="rect">
                          <a:avLst/>
                        </a:prstGeom>
                        <a:noFill/>
                        <a:ln>
                          <a:noFill/>
                        </a:ln>
                      </pic:spPr>
                    </pic:pic>
                  </a:graphicData>
                </a:graphic>
              </wp:inline>
            </w:drawing>
          </w:r>
        </w:p>
      </w:tc>
      <w:tc>
        <w:tcPr>
          <w:tcW w:w="2333" w:type="pct"/>
          <w:vMerge w:val="restart"/>
          <w:vAlign w:val="center"/>
        </w:tcPr>
        <w:p w14:paraId="63A70B3D" w14:textId="21DA341C" w:rsidR="00817E35" w:rsidRPr="00616CCA" w:rsidRDefault="00817E35" w:rsidP="00817E35">
          <w:pPr>
            <w:spacing w:after="200"/>
            <w:jc w:val="center"/>
            <w:rPr>
              <w:rFonts w:eastAsia="Calibri" w:cs="Arial"/>
              <w:b/>
              <w:lang w:val="es-EC"/>
            </w:rPr>
          </w:pPr>
          <w:r>
            <w:rPr>
              <w:rFonts w:eastAsia="Calibri" w:cs="Arial"/>
              <w:b/>
              <w:lang w:val="es-EC"/>
            </w:rPr>
            <w:t>ESPECIFICACIONES TÉCNICAS</w:t>
          </w:r>
        </w:p>
      </w:tc>
      <w:tc>
        <w:tcPr>
          <w:tcW w:w="1325" w:type="pct"/>
          <w:vAlign w:val="center"/>
        </w:tcPr>
        <w:p w14:paraId="1A67108F" w14:textId="77777777" w:rsidR="00817E35" w:rsidRPr="00B74A52" w:rsidRDefault="00817E35" w:rsidP="00817E35">
          <w:pPr>
            <w:keepNext/>
            <w:ind w:left="1152" w:hanging="1152"/>
            <w:outlineLvl w:val="5"/>
            <w:rPr>
              <w:rFonts w:eastAsia="Times New Roman" w:cs="Arial"/>
              <w:b/>
              <w:sz w:val="20"/>
              <w:szCs w:val="20"/>
              <w:lang w:val="es-ES" w:eastAsia="es-ES"/>
            </w:rPr>
          </w:pPr>
          <w:r w:rsidRPr="00B74A52">
            <w:rPr>
              <w:rFonts w:eastAsia="Times New Roman" w:cs="Arial"/>
              <w:b/>
              <w:sz w:val="20"/>
              <w:szCs w:val="20"/>
              <w:lang w:val="es-ES" w:eastAsia="es-ES"/>
            </w:rPr>
            <w:t xml:space="preserve">FECHA: </w:t>
          </w:r>
          <w:r>
            <w:rPr>
              <w:rFonts w:eastAsia="Times New Roman" w:cs="Arial"/>
              <w:szCs w:val="20"/>
              <w:lang w:val="es-ES" w:eastAsia="es-ES"/>
            </w:rPr>
            <w:t>19-10-2026</w:t>
          </w:r>
        </w:p>
      </w:tc>
    </w:tr>
    <w:tr w:rsidR="00817E35" w:rsidRPr="00B74A52" w14:paraId="134F385F" w14:textId="77777777" w:rsidTr="00730787">
      <w:trPr>
        <w:trHeight w:val="303"/>
      </w:trPr>
      <w:tc>
        <w:tcPr>
          <w:tcW w:w="1342" w:type="pct"/>
          <w:vMerge/>
        </w:tcPr>
        <w:p w14:paraId="4A442756" w14:textId="77777777" w:rsidR="00817E35" w:rsidRPr="00B74A52" w:rsidRDefault="00817E35" w:rsidP="00817E35">
          <w:pPr>
            <w:spacing w:after="200"/>
            <w:jc w:val="center"/>
            <w:rPr>
              <w:rFonts w:eastAsia="Calibri" w:cs="Arial"/>
              <w:lang w:val="es-ES"/>
            </w:rPr>
          </w:pPr>
        </w:p>
      </w:tc>
      <w:tc>
        <w:tcPr>
          <w:tcW w:w="2333" w:type="pct"/>
          <w:vMerge/>
        </w:tcPr>
        <w:p w14:paraId="33A5F1AC" w14:textId="77777777" w:rsidR="00817E35" w:rsidRPr="00B74A52" w:rsidRDefault="00817E35" w:rsidP="00817E35">
          <w:pPr>
            <w:tabs>
              <w:tab w:val="center" w:pos="4252"/>
              <w:tab w:val="right" w:pos="8504"/>
            </w:tabs>
            <w:rPr>
              <w:rFonts w:eastAsia="Calibri" w:cs="Arial"/>
              <w:lang w:val="es-ES"/>
            </w:rPr>
          </w:pPr>
        </w:p>
      </w:tc>
      <w:tc>
        <w:tcPr>
          <w:tcW w:w="1325" w:type="pct"/>
          <w:vAlign w:val="center"/>
        </w:tcPr>
        <w:p w14:paraId="00352EC0" w14:textId="15278CF3" w:rsidR="00817E35" w:rsidRPr="00B74A52" w:rsidRDefault="00817E35" w:rsidP="00817E35">
          <w:pPr>
            <w:tabs>
              <w:tab w:val="center" w:pos="4252"/>
              <w:tab w:val="right" w:pos="8504"/>
            </w:tabs>
            <w:rPr>
              <w:rFonts w:eastAsia="Calibri" w:cs="Arial"/>
              <w:sz w:val="20"/>
              <w:u w:val="single"/>
              <w:lang w:val="es-ES"/>
            </w:rPr>
          </w:pPr>
          <w:r w:rsidRPr="00B74A52">
            <w:rPr>
              <w:rFonts w:eastAsia="Calibri" w:cs="Arial"/>
              <w:b/>
              <w:sz w:val="20"/>
              <w:lang w:val="es-ES"/>
            </w:rPr>
            <w:t xml:space="preserve">CÓDIGO: </w:t>
          </w:r>
          <w:r w:rsidRPr="002E1144">
            <w:rPr>
              <w:rFonts w:eastAsia="Calibri" w:cs="Arial"/>
              <w:sz w:val="20"/>
              <w:lang w:val="es-ES"/>
            </w:rPr>
            <w:t>RG-INDOT-4</w:t>
          </w:r>
          <w:r>
            <w:rPr>
              <w:rFonts w:eastAsia="Calibri" w:cs="Arial"/>
              <w:sz w:val="20"/>
              <w:lang w:val="es-ES"/>
            </w:rPr>
            <w:t>60</w:t>
          </w:r>
        </w:p>
      </w:tc>
    </w:tr>
    <w:tr w:rsidR="00817E35" w:rsidRPr="00B74A52" w14:paraId="761F5E91" w14:textId="77777777" w:rsidTr="00730787">
      <w:trPr>
        <w:trHeight w:val="193"/>
      </w:trPr>
      <w:tc>
        <w:tcPr>
          <w:tcW w:w="1342" w:type="pct"/>
          <w:vMerge/>
        </w:tcPr>
        <w:p w14:paraId="613245F7" w14:textId="77777777" w:rsidR="00817E35" w:rsidRPr="00B74A52" w:rsidRDefault="00817E35" w:rsidP="00817E35">
          <w:pPr>
            <w:spacing w:after="200"/>
            <w:jc w:val="center"/>
            <w:rPr>
              <w:rFonts w:eastAsia="Calibri" w:cs="Arial"/>
              <w:lang w:val="es-ES"/>
            </w:rPr>
          </w:pPr>
        </w:p>
      </w:tc>
      <w:tc>
        <w:tcPr>
          <w:tcW w:w="2333" w:type="pct"/>
          <w:vAlign w:val="center"/>
        </w:tcPr>
        <w:p w14:paraId="60B2F871" w14:textId="6A64C3CC" w:rsidR="00817E35" w:rsidRPr="00B74A52" w:rsidRDefault="00817E35" w:rsidP="00817E35">
          <w:pPr>
            <w:tabs>
              <w:tab w:val="center" w:pos="4252"/>
              <w:tab w:val="right" w:pos="8504"/>
            </w:tabs>
            <w:jc w:val="center"/>
            <w:rPr>
              <w:rFonts w:eastAsia="Calibri" w:cs="Arial"/>
              <w:b/>
              <w:lang w:val="es-ES"/>
            </w:rPr>
          </w:pPr>
          <w:r>
            <w:rPr>
              <w:rFonts w:eastAsia="Calibri" w:cs="Arial"/>
              <w:b/>
              <w:lang w:val="es-ES"/>
            </w:rPr>
            <w:t xml:space="preserve">Versión: </w:t>
          </w:r>
          <w:r>
            <w:rPr>
              <w:rFonts w:eastAsia="Calibri" w:cs="Arial"/>
              <w:lang w:val="es-ES"/>
            </w:rPr>
            <w:t>06</w:t>
          </w:r>
        </w:p>
      </w:tc>
      <w:tc>
        <w:tcPr>
          <w:tcW w:w="1325" w:type="pct"/>
          <w:vMerge w:val="restart"/>
          <w:vAlign w:val="center"/>
        </w:tcPr>
        <w:p w14:paraId="4CF1DFB1" w14:textId="77777777" w:rsidR="00817E35" w:rsidRPr="00B74A52" w:rsidRDefault="00817E35" w:rsidP="00817E35">
          <w:pPr>
            <w:keepNext/>
            <w:ind w:left="1152" w:hanging="1152"/>
            <w:outlineLvl w:val="5"/>
            <w:rPr>
              <w:rFonts w:eastAsia="Times New Roman" w:cs="Arial"/>
              <w:b/>
              <w:sz w:val="20"/>
              <w:szCs w:val="20"/>
              <w:lang w:val="es-ES" w:eastAsia="es-ES"/>
            </w:rPr>
          </w:pPr>
          <w:r w:rsidRPr="00B74A52">
            <w:rPr>
              <w:rFonts w:eastAsia="Times New Roman" w:cs="Arial"/>
              <w:b/>
              <w:sz w:val="20"/>
              <w:szCs w:val="20"/>
              <w:lang w:val="es-ES" w:eastAsia="es-ES"/>
            </w:rPr>
            <w:t xml:space="preserve">PÁGINA: </w:t>
          </w:r>
          <w:r w:rsidRPr="00B74A52">
            <w:rPr>
              <w:rFonts w:eastAsia="Times New Roman" w:cs="Arial"/>
              <w:sz w:val="20"/>
              <w:szCs w:val="20"/>
              <w:lang w:val="es-ES" w:eastAsia="es-ES"/>
            </w:rPr>
            <w:fldChar w:fldCharType="begin"/>
          </w:r>
          <w:r w:rsidRPr="00B74A52">
            <w:rPr>
              <w:rFonts w:eastAsia="Times New Roman" w:cs="Arial"/>
              <w:sz w:val="20"/>
              <w:szCs w:val="20"/>
              <w:lang w:val="es-ES" w:eastAsia="es-ES"/>
            </w:rPr>
            <w:instrText xml:space="preserve"> PAGE </w:instrText>
          </w:r>
          <w:r w:rsidRPr="00B74A52">
            <w:rPr>
              <w:rFonts w:eastAsia="Times New Roman" w:cs="Arial"/>
              <w:sz w:val="20"/>
              <w:szCs w:val="20"/>
              <w:lang w:val="es-ES" w:eastAsia="es-ES"/>
            </w:rPr>
            <w:fldChar w:fldCharType="separate"/>
          </w:r>
          <w:r>
            <w:rPr>
              <w:rFonts w:eastAsia="Times New Roman" w:cs="Arial"/>
              <w:noProof/>
              <w:sz w:val="20"/>
              <w:szCs w:val="20"/>
              <w:lang w:val="es-ES" w:eastAsia="es-ES"/>
            </w:rPr>
            <w:t>1</w:t>
          </w:r>
          <w:r w:rsidRPr="00B74A52">
            <w:rPr>
              <w:rFonts w:eastAsia="Times New Roman" w:cs="Arial"/>
              <w:sz w:val="20"/>
              <w:szCs w:val="20"/>
              <w:lang w:val="es-ES" w:eastAsia="es-ES"/>
            </w:rPr>
            <w:fldChar w:fldCharType="end"/>
          </w:r>
          <w:r w:rsidRPr="00B74A52">
            <w:rPr>
              <w:rFonts w:eastAsia="Times New Roman" w:cs="Arial"/>
              <w:sz w:val="20"/>
              <w:szCs w:val="20"/>
              <w:lang w:val="es-ES" w:eastAsia="es-ES"/>
            </w:rPr>
            <w:t xml:space="preserve"> de </w:t>
          </w:r>
          <w:r w:rsidRPr="00B74A52">
            <w:rPr>
              <w:rFonts w:eastAsia="Times New Roman" w:cs="Arial"/>
              <w:sz w:val="20"/>
              <w:szCs w:val="20"/>
              <w:lang w:val="es-ES" w:eastAsia="es-ES"/>
            </w:rPr>
            <w:fldChar w:fldCharType="begin"/>
          </w:r>
          <w:r w:rsidRPr="00B74A52">
            <w:rPr>
              <w:rFonts w:eastAsia="Times New Roman" w:cs="Arial"/>
              <w:sz w:val="20"/>
              <w:szCs w:val="20"/>
              <w:lang w:val="es-ES" w:eastAsia="es-ES"/>
            </w:rPr>
            <w:instrText xml:space="preserve"> NUMPAGES </w:instrText>
          </w:r>
          <w:r w:rsidRPr="00B74A52">
            <w:rPr>
              <w:rFonts w:eastAsia="Times New Roman" w:cs="Arial"/>
              <w:sz w:val="20"/>
              <w:szCs w:val="20"/>
              <w:lang w:val="es-ES" w:eastAsia="es-ES"/>
            </w:rPr>
            <w:fldChar w:fldCharType="separate"/>
          </w:r>
          <w:r>
            <w:rPr>
              <w:rFonts w:eastAsia="Times New Roman" w:cs="Arial"/>
              <w:noProof/>
              <w:sz w:val="20"/>
              <w:szCs w:val="20"/>
              <w:lang w:val="es-ES" w:eastAsia="es-ES"/>
            </w:rPr>
            <w:t>3</w:t>
          </w:r>
          <w:r w:rsidRPr="00B74A52">
            <w:rPr>
              <w:rFonts w:eastAsia="Times New Roman" w:cs="Arial"/>
              <w:sz w:val="20"/>
              <w:szCs w:val="20"/>
              <w:lang w:val="es-ES" w:eastAsia="es-ES"/>
            </w:rPr>
            <w:fldChar w:fldCharType="end"/>
          </w:r>
        </w:p>
      </w:tc>
    </w:tr>
    <w:tr w:rsidR="00817E35" w:rsidRPr="00616CCA" w14:paraId="0E9F8C3F" w14:textId="77777777" w:rsidTr="00730787">
      <w:trPr>
        <w:trHeight w:val="652"/>
      </w:trPr>
      <w:tc>
        <w:tcPr>
          <w:tcW w:w="1342" w:type="pct"/>
          <w:vMerge/>
          <w:tcBorders>
            <w:bottom w:val="single" w:sz="4" w:space="0" w:color="auto"/>
          </w:tcBorders>
        </w:tcPr>
        <w:p w14:paraId="2C7BD5A4" w14:textId="77777777" w:rsidR="00817E35" w:rsidRPr="00B74A52" w:rsidRDefault="00817E35" w:rsidP="00817E35">
          <w:pPr>
            <w:spacing w:after="200"/>
            <w:jc w:val="center"/>
            <w:rPr>
              <w:rFonts w:eastAsia="Calibri" w:cs="Arial"/>
              <w:lang w:val="es-ES"/>
            </w:rPr>
          </w:pPr>
        </w:p>
      </w:tc>
      <w:tc>
        <w:tcPr>
          <w:tcW w:w="2333" w:type="pct"/>
          <w:tcBorders>
            <w:bottom w:val="single" w:sz="4" w:space="0" w:color="auto"/>
          </w:tcBorders>
          <w:vAlign w:val="center"/>
        </w:tcPr>
        <w:p w14:paraId="25BFBCE3" w14:textId="7EBC872B" w:rsidR="00817E35" w:rsidRPr="00B74A52" w:rsidRDefault="00817E35" w:rsidP="00817E35">
          <w:pPr>
            <w:tabs>
              <w:tab w:val="center" w:pos="4252"/>
              <w:tab w:val="right" w:pos="8504"/>
            </w:tabs>
            <w:rPr>
              <w:rFonts w:eastAsia="Calibri" w:cs="Arial"/>
              <w:b/>
              <w:sz w:val="10"/>
              <w:lang w:val="es-ES"/>
            </w:rPr>
          </w:pPr>
          <w:r>
            <w:rPr>
              <w:noProof/>
              <w:lang w:val="es-EC" w:eastAsia="es-EC"/>
            </w:rPr>
            <mc:AlternateContent>
              <mc:Choice Requires="wps">
                <w:drawing>
                  <wp:anchor distT="0" distB="0" distL="114300" distR="114300" simplePos="0" relativeHeight="251661312" behindDoc="0" locked="0" layoutInCell="1" allowOverlap="1" wp14:anchorId="33E47C8E" wp14:editId="2B0B3AA9">
                    <wp:simplePos x="0" y="0"/>
                    <wp:positionH relativeFrom="column">
                      <wp:posOffset>2230755</wp:posOffset>
                    </wp:positionH>
                    <wp:positionV relativeFrom="paragraph">
                      <wp:posOffset>125095</wp:posOffset>
                    </wp:positionV>
                    <wp:extent cx="161925" cy="117475"/>
                    <wp:effectExtent l="0" t="0" r="28575" b="15875"/>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D15E7" id="Rectángulo 41" o:spid="_x0000_s1026" style="position:absolute;margin-left:175.65pt;margin-top:9.85pt;width:12.75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"/>
                </w:pict>
              </mc:Fallback>
            </mc:AlternateContent>
          </w:r>
          <w:r>
            <w:rPr>
              <w:noProof/>
              <w:lang w:val="es-EC" w:eastAsia="es-EC"/>
            </w:rPr>
            <mc:AlternateContent>
              <mc:Choice Requires="wps">
                <w:drawing>
                  <wp:anchor distT="0" distB="0" distL="114300" distR="114300" simplePos="0" relativeHeight="251660288" behindDoc="0" locked="0" layoutInCell="1" allowOverlap="1" wp14:anchorId="7521B0E5" wp14:editId="78F94689">
                    <wp:simplePos x="0" y="0"/>
                    <wp:positionH relativeFrom="column">
                      <wp:posOffset>1644650</wp:posOffset>
                    </wp:positionH>
                    <wp:positionV relativeFrom="paragraph">
                      <wp:posOffset>109220</wp:posOffset>
                    </wp:positionV>
                    <wp:extent cx="161925" cy="117475"/>
                    <wp:effectExtent l="0" t="0" r="28575" b="1587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D739A" id="Rectángulo 42" o:spid="_x0000_s1026" style="position:absolute;margin-left:129.5pt;margin-top:8.6pt;width:12.75pt;height: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"/>
                </w:pict>
              </mc:Fallback>
            </mc:AlternateContent>
          </w:r>
          <w:r>
            <w:rPr>
              <w:noProof/>
              <w:lang w:val="es-EC" w:eastAsia="es-EC"/>
            </w:rPr>
            <mc:AlternateContent>
              <mc:Choice Requires="wps">
                <w:drawing>
                  <wp:anchor distT="0" distB="0" distL="114300" distR="114300" simplePos="0" relativeHeight="251659264" behindDoc="0" locked="0" layoutInCell="1" allowOverlap="1" wp14:anchorId="24237A91" wp14:editId="0021CCD2">
                    <wp:simplePos x="0" y="0"/>
                    <wp:positionH relativeFrom="column">
                      <wp:posOffset>146685</wp:posOffset>
                    </wp:positionH>
                    <wp:positionV relativeFrom="paragraph">
                      <wp:posOffset>118745</wp:posOffset>
                    </wp:positionV>
                    <wp:extent cx="161925" cy="117475"/>
                    <wp:effectExtent l="0" t="0" r="28575" b="15875"/>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7475"/>
                            </a:xfrm>
                            <a:prstGeom prst="rect">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44BCF" id="Rectángulo 40" o:spid="_x0000_s1026" style="position:absolute;margin-left:11.55pt;margin-top:9.35pt;width:12.75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" fillcolor="#c00000"/>
                </w:pict>
              </mc:Fallback>
            </mc:AlternateContent>
          </w:r>
          <w:r>
            <w:rPr>
              <w:noProof/>
              <w:lang w:val="es-EC" w:eastAsia="es-EC"/>
            </w:rPr>
            <mc:AlternateContent>
              <mc:Choice Requires="wps">
                <w:drawing>
                  <wp:anchor distT="0" distB="0" distL="114300" distR="114300" simplePos="0" relativeHeight="251662336" behindDoc="0" locked="0" layoutInCell="1" allowOverlap="1" wp14:anchorId="2BBB33FC" wp14:editId="47C61E05">
                    <wp:simplePos x="0" y="0"/>
                    <wp:positionH relativeFrom="column">
                      <wp:posOffset>919480</wp:posOffset>
                    </wp:positionH>
                    <wp:positionV relativeFrom="paragraph">
                      <wp:posOffset>120650</wp:posOffset>
                    </wp:positionV>
                    <wp:extent cx="161925" cy="117475"/>
                    <wp:effectExtent l="0" t="0" r="28575" b="15875"/>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74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EF172" id="Rectángulo 39" o:spid="_x0000_s1026" style="position:absolute;margin-left:72.4pt;margin-top:9.5pt;width:12.75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" filled="f"/>
                </w:pict>
              </mc:Fallback>
            </mc:AlternateContent>
          </w:r>
          <w:r>
            <w:rPr>
              <w:rFonts w:eastAsia="Calibri" w:cs="Arial"/>
              <w:b/>
              <w:sz w:val="12"/>
              <w:lang w:val="es-ES"/>
            </w:rPr>
            <w:t xml:space="preserve">   </w:t>
          </w:r>
          <w:r w:rsidRPr="00B74A52">
            <w:rPr>
              <w:rFonts w:eastAsia="Calibri" w:cs="Arial"/>
              <w:b/>
              <w:sz w:val="12"/>
              <w:lang w:val="es-ES"/>
            </w:rPr>
            <w:t xml:space="preserve">PUBLICADO    </w:t>
          </w:r>
          <w:r>
            <w:rPr>
              <w:rFonts w:eastAsia="Calibri" w:cs="Arial"/>
              <w:b/>
              <w:sz w:val="12"/>
              <w:lang w:val="es-ES"/>
            </w:rPr>
            <w:t xml:space="preserve">                      </w:t>
          </w:r>
          <w:r w:rsidRPr="00B74A52">
            <w:rPr>
              <w:rFonts w:eastAsia="Calibri" w:cs="Arial"/>
              <w:b/>
              <w:sz w:val="12"/>
              <w:lang w:val="es-ES"/>
            </w:rPr>
            <w:t xml:space="preserve">EN ANALISIS           </w:t>
          </w:r>
          <w:r>
            <w:rPr>
              <w:rFonts w:eastAsia="Calibri" w:cs="Arial"/>
              <w:b/>
              <w:sz w:val="12"/>
              <w:lang w:val="es-ES"/>
            </w:rPr>
            <w:t xml:space="preserve">   </w:t>
          </w:r>
          <w:r w:rsidRPr="00B74A52">
            <w:rPr>
              <w:rFonts w:eastAsia="Calibri" w:cs="Arial"/>
              <w:b/>
              <w:sz w:val="12"/>
              <w:lang w:val="es-ES"/>
            </w:rPr>
            <w:t xml:space="preserve">BORRADOR        </w:t>
          </w:r>
          <w:r>
            <w:rPr>
              <w:rFonts w:eastAsia="Calibri" w:cs="Arial"/>
              <w:b/>
              <w:sz w:val="12"/>
              <w:lang w:val="es-ES"/>
            </w:rPr>
            <w:t xml:space="preserve">    </w:t>
          </w:r>
          <w:r w:rsidRPr="00B74A52">
            <w:rPr>
              <w:rFonts w:eastAsia="Calibri" w:cs="Arial"/>
              <w:b/>
              <w:sz w:val="12"/>
              <w:lang w:val="es-ES"/>
            </w:rPr>
            <w:t>OBSOLETO</w:t>
          </w:r>
        </w:p>
        <w:p w14:paraId="47BE0ECE" w14:textId="77777777" w:rsidR="00817E35" w:rsidRPr="00B74A52" w:rsidRDefault="00817E35" w:rsidP="00817E35">
          <w:pPr>
            <w:tabs>
              <w:tab w:val="center" w:pos="4252"/>
              <w:tab w:val="right" w:pos="8504"/>
            </w:tabs>
            <w:rPr>
              <w:rFonts w:eastAsia="Calibri" w:cs="Arial"/>
              <w:b/>
              <w:lang w:val="es-ES"/>
            </w:rPr>
          </w:pPr>
        </w:p>
      </w:tc>
      <w:tc>
        <w:tcPr>
          <w:tcW w:w="1325" w:type="pct"/>
          <w:vMerge/>
          <w:vAlign w:val="center"/>
        </w:tcPr>
        <w:p w14:paraId="614AD378" w14:textId="77777777" w:rsidR="00817E35" w:rsidRPr="00B74A52" w:rsidRDefault="00817E35" w:rsidP="00817E35">
          <w:pPr>
            <w:keepNext/>
            <w:numPr>
              <w:ilvl w:val="5"/>
              <w:numId w:val="0"/>
            </w:numPr>
            <w:ind w:left="1152" w:hanging="1152"/>
            <w:jc w:val="center"/>
            <w:outlineLvl w:val="5"/>
            <w:rPr>
              <w:rFonts w:eastAsia="Times New Roman" w:cs="Arial"/>
              <w:b/>
              <w:sz w:val="20"/>
              <w:szCs w:val="20"/>
              <w:lang w:val="es-ES" w:eastAsia="es-ES"/>
            </w:rPr>
          </w:pPr>
        </w:p>
      </w:tc>
    </w:tr>
  </w:tbl>
  <w:p w14:paraId="3BAE9A9F" w14:textId="77777777" w:rsidR="002A0270" w:rsidRDefault="002A0270" w:rsidP="00817E3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FA17B92"/>
    <w:multiLevelType w:val="multilevel"/>
    <w:tmpl w:val="D94AA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11610"/>
    <w:multiLevelType w:val="hybridMultilevel"/>
    <w:tmpl w:val="3A2626D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08161759">
    <w:abstractNumId w:val="8"/>
  </w:num>
  <w:num w:numId="2" w16cid:durableId="203955762">
    <w:abstractNumId w:val="6"/>
  </w:num>
  <w:num w:numId="3" w16cid:durableId="911962767">
    <w:abstractNumId w:val="5"/>
  </w:num>
  <w:num w:numId="4" w16cid:durableId="1483154221">
    <w:abstractNumId w:val="4"/>
  </w:num>
  <w:num w:numId="5" w16cid:durableId="631833991">
    <w:abstractNumId w:val="7"/>
  </w:num>
  <w:num w:numId="6" w16cid:durableId="1731003023">
    <w:abstractNumId w:val="3"/>
  </w:num>
  <w:num w:numId="7" w16cid:durableId="1624464531">
    <w:abstractNumId w:val="2"/>
  </w:num>
  <w:num w:numId="8" w16cid:durableId="810099506">
    <w:abstractNumId w:val="1"/>
  </w:num>
  <w:num w:numId="9" w16cid:durableId="1803302248">
    <w:abstractNumId w:val="0"/>
  </w:num>
  <w:num w:numId="10" w16cid:durableId="1782458982">
    <w:abstractNumId w:val="9"/>
  </w:num>
  <w:num w:numId="11" w16cid:durableId="3321519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7F1"/>
    <w:rsid w:val="00034616"/>
    <w:rsid w:val="0006063C"/>
    <w:rsid w:val="000B565D"/>
    <w:rsid w:val="00124161"/>
    <w:rsid w:val="0015074B"/>
    <w:rsid w:val="0018770C"/>
    <w:rsid w:val="001C36E3"/>
    <w:rsid w:val="0029639D"/>
    <w:rsid w:val="002A0270"/>
    <w:rsid w:val="002F7711"/>
    <w:rsid w:val="00326F90"/>
    <w:rsid w:val="00326FAA"/>
    <w:rsid w:val="00544CE7"/>
    <w:rsid w:val="005A6034"/>
    <w:rsid w:val="007B142D"/>
    <w:rsid w:val="007F3A6F"/>
    <w:rsid w:val="00817E35"/>
    <w:rsid w:val="008259F9"/>
    <w:rsid w:val="00A7679C"/>
    <w:rsid w:val="00AA1D8D"/>
    <w:rsid w:val="00B47730"/>
    <w:rsid w:val="00C21614"/>
    <w:rsid w:val="00CB0664"/>
    <w:rsid w:val="00D649D1"/>
    <w:rsid w:val="00DE16EE"/>
    <w:rsid w:val="00E25D99"/>
    <w:rsid w:val="00F5023D"/>
    <w:rsid w:val="00FC3C46"/>
    <w:rsid w:val="00FC693F"/>
    <w:rsid w:val="00FE44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B5F708"/>
  <w14:defaultImageDpi w14:val="300"/>
  <w15:docId w15:val="{1918DD65-1689-4973-9A92-F26E5E7E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157286">
      <w:bodyDiv w:val="1"/>
      <w:marLeft w:val="0"/>
      <w:marRight w:val="0"/>
      <w:marTop w:val="0"/>
      <w:marBottom w:val="0"/>
      <w:divBdr>
        <w:top w:val="none" w:sz="0" w:space="0" w:color="auto"/>
        <w:left w:val="none" w:sz="0" w:space="0" w:color="auto"/>
        <w:bottom w:val="none" w:sz="0" w:space="0" w:color="auto"/>
        <w:right w:val="none" w:sz="0" w:space="0" w:color="auto"/>
      </w:divBdr>
    </w:div>
    <w:div w:id="1294407095">
      <w:bodyDiv w:val="1"/>
      <w:marLeft w:val="0"/>
      <w:marRight w:val="0"/>
      <w:marTop w:val="0"/>
      <w:marBottom w:val="0"/>
      <w:divBdr>
        <w:top w:val="none" w:sz="0" w:space="0" w:color="auto"/>
        <w:left w:val="none" w:sz="0" w:space="0" w:color="auto"/>
        <w:bottom w:val="none" w:sz="0" w:space="0" w:color="auto"/>
        <w:right w:val="none" w:sz="0" w:space="0" w:color="auto"/>
      </w:divBdr>
    </w:div>
    <w:div w:id="2054651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1122</Words>
  <Characters>6175</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Martha Sanchez</cp:lastModifiedBy>
  <cp:revision>3</cp:revision>
  <dcterms:created xsi:type="dcterms:W3CDTF">2026-10-23T19:57:00Z</dcterms:created>
  <dcterms:modified xsi:type="dcterms:W3CDTF">2026-10-23T19:58:00Z</dcterms:modified>
  <cp:category/>
</cp:coreProperties>
</file>